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918"/>
        <w:gridCol w:w="790"/>
        <w:gridCol w:w="511"/>
        <w:gridCol w:w="440"/>
        <w:gridCol w:w="437"/>
        <w:gridCol w:w="790"/>
        <w:gridCol w:w="685"/>
        <w:gridCol w:w="662"/>
        <w:gridCol w:w="633"/>
        <w:gridCol w:w="755"/>
        <w:gridCol w:w="715"/>
        <w:gridCol w:w="372"/>
        <w:gridCol w:w="384"/>
        <w:gridCol w:w="474"/>
        <w:gridCol w:w="474"/>
        <w:gridCol w:w="474"/>
        <w:gridCol w:w="474"/>
        <w:gridCol w:w="580"/>
        <w:gridCol w:w="541"/>
        <w:gridCol w:w="517"/>
        <w:gridCol w:w="592"/>
      </w:tblGrid>
      <w:tr w:rsidR="00FD12A5" w:rsidRPr="00FD12A5" w:rsidTr="00FD12A5">
        <w:trPr>
          <w:trHeight w:val="270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8" w:space="0" w:color="548235"/>
              <w:right w:val="nil"/>
            </w:tcBorders>
            <w:shd w:val="clear" w:color="auto" w:fill="auto"/>
            <w:noWrap/>
            <w:vAlign w:val="bottom"/>
            <w:hideMark/>
          </w:tcPr>
          <w:p w:rsidR="00FD12A5" w:rsidRDefault="00DC0456" w:rsidP="00DC04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16"/>
                <w:szCs w:val="16"/>
                <w:lang w:eastAsia="es-MX"/>
              </w:rPr>
              <w:drawing>
                <wp:inline distT="0" distB="0" distL="0" distR="0" wp14:anchorId="71B6366F" wp14:editId="765322A1">
                  <wp:extent cx="500174" cy="498763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ino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796" cy="49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</w:t>
            </w:r>
            <w:bookmarkStart w:id="0" w:name="_GoBack"/>
            <w:bookmarkEnd w:id="0"/>
            <w:r w:rsidR="00FD12A5"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MATRIZ DE INDICADORES DE RESULTADOS</w:t>
            </w:r>
          </w:p>
          <w:p w:rsidR="00DC0456" w:rsidRPr="00FD12A5" w:rsidRDefault="00DC0456" w:rsidP="00DC04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D12A5" w:rsidRPr="00FD12A5" w:rsidTr="00FD12A5">
        <w:trPr>
          <w:trHeight w:val="525"/>
        </w:trPr>
        <w:tc>
          <w:tcPr>
            <w:tcW w:w="361" w:type="pc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Programa presupuestario:   </w:t>
            </w:r>
          </w:p>
        </w:tc>
        <w:tc>
          <w:tcPr>
            <w:tcW w:w="931" w:type="pct"/>
            <w:gridSpan w:val="2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TSJ - Programa de Administración e </w:t>
            </w: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imparticion</w:t>
            </w:r>
            <w:proofErr w:type="spellEnd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 de Justicia 2022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Ramo:   </w:t>
            </w:r>
          </w:p>
        </w:tc>
        <w:tc>
          <w:tcPr>
            <w:tcW w:w="383" w:type="pct"/>
            <w:gridSpan w:val="2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28 Participaciones a Entidades Federativas y Municipios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Dependencia o entidad:  </w:t>
            </w:r>
          </w:p>
        </w:tc>
        <w:tc>
          <w:tcPr>
            <w:tcW w:w="1549" w:type="pct"/>
            <w:gridSpan w:val="7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Poder Judicial del Estado de Morelos</w:t>
            </w:r>
          </w:p>
        </w:tc>
        <w:tc>
          <w:tcPr>
            <w:tcW w:w="560" w:type="pct"/>
            <w:gridSpan w:val="4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Unidades Responsables:  </w:t>
            </w:r>
          </w:p>
        </w:tc>
        <w:tc>
          <w:tcPr>
            <w:tcW w:w="664" w:type="pct"/>
            <w:gridSpan w:val="4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Instituto de Justicia Alternativa</w:t>
            </w:r>
          </w:p>
        </w:tc>
      </w:tr>
      <w:tr w:rsidR="00FD12A5" w:rsidRPr="00FD12A5" w:rsidTr="00FD12A5">
        <w:trPr>
          <w:trHeight w:val="270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ALINEACION</w:t>
            </w:r>
          </w:p>
        </w:tc>
      </w:tr>
      <w:tr w:rsidR="00FD12A5" w:rsidRPr="00FD12A5" w:rsidTr="00FD12A5">
        <w:trPr>
          <w:trHeight w:val="270"/>
        </w:trPr>
        <w:tc>
          <w:tcPr>
            <w:tcW w:w="1520" w:type="pct"/>
            <w:gridSpan w:val="4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Plan Nacional de Desarrollo 2019-2024</w:t>
            </w:r>
          </w:p>
        </w:tc>
        <w:tc>
          <w:tcPr>
            <w:tcW w:w="969" w:type="pct"/>
            <w:gridSpan w:val="4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Plan Estatal de Desarrollo 2019-2024</w:t>
            </w:r>
          </w:p>
        </w:tc>
        <w:tc>
          <w:tcPr>
            <w:tcW w:w="2016" w:type="pct"/>
            <w:gridSpan w:val="11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Programa Institucional</w:t>
            </w:r>
          </w:p>
        </w:tc>
        <w:tc>
          <w:tcPr>
            <w:tcW w:w="495" w:type="pct"/>
            <w:gridSpan w:val="3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Ejes transversales</w:t>
            </w: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Eje estratégico</w:t>
            </w:r>
          </w:p>
        </w:tc>
        <w:tc>
          <w:tcPr>
            <w:tcW w:w="1158" w:type="pct"/>
            <w:gridSpan w:val="3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1. Política y gobierno</w:t>
            </w:r>
          </w:p>
        </w:tc>
        <w:tc>
          <w:tcPr>
            <w:tcW w:w="969" w:type="pct"/>
            <w:gridSpan w:val="4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1.  Paz y seguridad para los morelenses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1769" w:type="pct"/>
            <w:gridSpan w:val="10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JA - Administración e </w:t>
            </w: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imparticion</w:t>
            </w:r>
            <w:proofErr w:type="spellEnd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 de Justicia Alternativa 2022</w:t>
            </w:r>
          </w:p>
        </w:tc>
        <w:tc>
          <w:tcPr>
            <w:tcW w:w="495" w:type="pct"/>
            <w:gridSpan w:val="3"/>
            <w:vMerge w:val="restart"/>
            <w:tcBorders>
              <w:top w:val="single" w:sz="8" w:space="0" w:color="548235"/>
              <w:left w:val="single" w:sz="8" w:space="0" w:color="548235"/>
              <w:bottom w:val="nil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Cero corrupción e impunidad</w:t>
            </w: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Estrategia</w:t>
            </w:r>
          </w:p>
        </w:tc>
        <w:tc>
          <w:tcPr>
            <w:tcW w:w="1158" w:type="pct"/>
            <w:gridSpan w:val="3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Cambio de paradigma en seguridad</w:t>
            </w:r>
          </w:p>
        </w:tc>
        <w:tc>
          <w:tcPr>
            <w:tcW w:w="969" w:type="pct"/>
            <w:gridSpan w:val="4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Objetivo</w:t>
            </w:r>
          </w:p>
        </w:tc>
        <w:tc>
          <w:tcPr>
            <w:tcW w:w="1769" w:type="pct"/>
            <w:gridSpan w:val="10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Solución de conflictos a través de mecanismos alternativos que permitan procesos cortos, menores costos y una mayor satisfacción para las partes involucradas.</w:t>
            </w:r>
          </w:p>
        </w:tc>
        <w:tc>
          <w:tcPr>
            <w:tcW w:w="495" w:type="pct"/>
            <w:gridSpan w:val="3"/>
            <w:vMerge/>
            <w:tcBorders>
              <w:top w:val="single" w:sz="8" w:space="0" w:color="548235"/>
              <w:left w:val="single" w:sz="8" w:space="0" w:color="548235"/>
              <w:bottom w:val="nil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Objetivo</w:t>
            </w:r>
          </w:p>
        </w:tc>
        <w:tc>
          <w:tcPr>
            <w:tcW w:w="1158" w:type="pct"/>
            <w:gridSpan w:val="3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1. Erradicar la corrupción y reactivar la procuración de justicia</w:t>
            </w:r>
          </w:p>
        </w:tc>
        <w:tc>
          <w:tcPr>
            <w:tcW w:w="969" w:type="pct"/>
            <w:gridSpan w:val="4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1.5 Garantizar, promover y proteger los derechos de las víctimas del delito y de violaciones a los derechos humanos considerados como graves por las legislaciones aplicables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Meta</w:t>
            </w:r>
          </w:p>
        </w:tc>
        <w:tc>
          <w:tcPr>
            <w:tcW w:w="1769" w:type="pct"/>
            <w:gridSpan w:val="10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Asegurar el acceso en condiciones de igualdad a todos los justiciable a un sistema de justicia  alternativa donde se pueda alcanzar un acuerdo entre los involucrados a través de la voluntad, la cooperación y el diálogo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Transparencia y rendición de cuentas</w:t>
            </w:r>
          </w:p>
        </w:tc>
      </w:tr>
      <w:tr w:rsidR="00FD12A5" w:rsidRPr="00FD12A5" w:rsidTr="00FD12A5">
        <w:trPr>
          <w:trHeight w:val="270"/>
        </w:trPr>
        <w:tc>
          <w:tcPr>
            <w:tcW w:w="3572" w:type="pct"/>
            <w:gridSpan w:val="12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Clasificación funcional</w:t>
            </w:r>
          </w:p>
        </w:tc>
        <w:tc>
          <w:tcPr>
            <w:tcW w:w="1428" w:type="pct"/>
            <w:gridSpan w:val="10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Actividad institucional</w:t>
            </w: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Finalidad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1. Gobierno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Función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1.2 Justicia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Subfunción</w:t>
            </w:r>
            <w:proofErr w:type="spellEnd"/>
          </w:p>
        </w:tc>
        <w:tc>
          <w:tcPr>
            <w:tcW w:w="1346" w:type="pct"/>
            <w:gridSpan w:val="5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1.2.1 Impartición de justicia</w:t>
            </w:r>
          </w:p>
        </w:tc>
        <w:tc>
          <w:tcPr>
            <w:tcW w:w="203" w:type="pct"/>
            <w:gridSpan w:val="2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1.2.1.1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Impartición de justicia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1.2.1.2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Administración de justicia</w:t>
            </w:r>
          </w:p>
        </w:tc>
      </w:tr>
      <w:tr w:rsidR="00FD12A5" w:rsidRPr="00FD12A5" w:rsidTr="00FD12A5">
        <w:trPr>
          <w:trHeight w:val="270"/>
        </w:trPr>
        <w:tc>
          <w:tcPr>
            <w:tcW w:w="3572" w:type="pct"/>
            <w:gridSpan w:val="12"/>
            <w:tcBorders>
              <w:top w:val="single" w:sz="8" w:space="0" w:color="548235"/>
              <w:left w:val="single" w:sz="8" w:space="0" w:color="548235"/>
              <w:bottom w:val="nil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203" w:type="pct"/>
            <w:gridSpan w:val="2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Linea</w:t>
            </w:r>
            <w:proofErr w:type="spellEnd"/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base</w:t>
            </w:r>
          </w:p>
        </w:tc>
        <w:tc>
          <w:tcPr>
            <w:tcW w:w="560" w:type="pct"/>
            <w:gridSpan w:val="4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nil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Meta anual 2022</w:t>
            </w:r>
          </w:p>
        </w:tc>
        <w:tc>
          <w:tcPr>
            <w:tcW w:w="326" w:type="pct"/>
            <w:gridSpan w:val="2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Avance acumulado</w:t>
            </w:r>
          </w:p>
        </w:tc>
        <w:tc>
          <w:tcPr>
            <w:tcW w:w="338" w:type="pct"/>
            <w:gridSpan w:val="2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Semaforización</w:t>
            </w: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474" w:type="pct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Objetivo</w:t>
            </w:r>
          </w:p>
        </w:tc>
        <w:tc>
          <w:tcPr>
            <w:tcW w:w="458" w:type="pct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Definición del indicador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Método de cálculo</w:t>
            </w:r>
          </w:p>
        </w:tc>
        <w:tc>
          <w:tcPr>
            <w:tcW w:w="262" w:type="pct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Unidad de </w:t>
            </w: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medidad</w:t>
            </w:r>
            <w:proofErr w:type="spellEnd"/>
          </w:p>
        </w:tc>
        <w:tc>
          <w:tcPr>
            <w:tcW w:w="248" w:type="pct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261" w:type="pct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Dimensión</w:t>
            </w:r>
          </w:p>
        </w:tc>
        <w:tc>
          <w:tcPr>
            <w:tcW w:w="292" w:type="pct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Sentido</w:t>
            </w:r>
          </w:p>
        </w:tc>
        <w:tc>
          <w:tcPr>
            <w:tcW w:w="284" w:type="pct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Periodicidad</w:t>
            </w:r>
          </w:p>
        </w:tc>
        <w:tc>
          <w:tcPr>
            <w:tcW w:w="203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0" w:type="pct"/>
            <w:gridSpan w:val="4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" w:type="pct"/>
            <w:gridSpan w:val="2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4 TRIM 2022</w:t>
            </w:r>
          </w:p>
        </w:tc>
        <w:tc>
          <w:tcPr>
            <w:tcW w:w="154" w:type="pct"/>
            <w:tcBorders>
              <w:top w:val="nil"/>
              <w:left w:val="single" w:sz="8" w:space="0" w:color="54823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= +/- 10%</w:t>
            </w:r>
          </w:p>
        </w:tc>
      </w:tr>
      <w:tr w:rsidR="00FD12A5" w:rsidRPr="00FD12A5" w:rsidTr="00FD12A5">
        <w:trPr>
          <w:trHeight w:val="255"/>
        </w:trPr>
        <w:tc>
          <w:tcPr>
            <w:tcW w:w="361" w:type="pct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4" w:type="pct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8" w:type="pct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" w:type="pct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1" w:type="pct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pct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Año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1º </w:t>
            </w: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Trim</w:t>
            </w:r>
            <w:proofErr w:type="spellEnd"/>
          </w:p>
        </w:tc>
        <w:tc>
          <w:tcPr>
            <w:tcW w:w="140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2º </w:t>
            </w: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Trim</w:t>
            </w:r>
            <w:proofErr w:type="spellEnd"/>
          </w:p>
        </w:tc>
        <w:tc>
          <w:tcPr>
            <w:tcW w:w="140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3º </w:t>
            </w: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Trim</w:t>
            </w:r>
            <w:proofErr w:type="spellEnd"/>
          </w:p>
        </w:tc>
        <w:tc>
          <w:tcPr>
            <w:tcW w:w="140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4º </w:t>
            </w: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Trim</w:t>
            </w:r>
            <w:proofErr w:type="spellEnd"/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Absoluto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Relativo</w:t>
            </w:r>
          </w:p>
        </w:tc>
        <w:tc>
          <w:tcPr>
            <w:tcW w:w="154" w:type="pct"/>
            <w:tcBorders>
              <w:top w:val="nil"/>
              <w:left w:val="single" w:sz="8" w:space="0" w:color="54823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Amarillo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= - 20%</w:t>
            </w: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4" w:type="pct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8" w:type="pct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" w:type="pct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1" w:type="pct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pct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Rojo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&gt; - 20%</w:t>
            </w:r>
          </w:p>
        </w:tc>
      </w:tr>
      <w:tr w:rsidR="00FD12A5" w:rsidRPr="00FD12A5" w:rsidTr="00FD12A5">
        <w:trPr>
          <w:trHeight w:val="450"/>
        </w:trPr>
        <w:tc>
          <w:tcPr>
            <w:tcW w:w="361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bookmarkStart w:id="1" w:name="RANGE!B16:W39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Fin</w:t>
            </w:r>
            <w:bookmarkEnd w:id="1"/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Contribuir a la seguridad y paz social mediante la cobertura de servicios de impartición de justicia y solución de </w:t>
            </w: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>conflictos por medios alternativos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>Cobertura general de servicios de impartición de justicia en el estado de Morelos</w:t>
            </w:r>
          </w:p>
        </w:tc>
        <w:tc>
          <w:tcPr>
            <w:tcW w:w="419" w:type="pct"/>
            <w:gridSpan w:val="2"/>
            <w:tcBorders>
              <w:top w:val="single" w:sz="8" w:space="0" w:color="548235"/>
              <w:left w:val="nil"/>
              <w:bottom w:val="nil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Expresa la </w:t>
            </w: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proporcion</w:t>
            </w:r>
            <w:proofErr w:type="spellEnd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 del total de juzgadores por cada 100,000 habitantes</w:t>
            </w:r>
          </w:p>
        </w:tc>
        <w:tc>
          <w:tcPr>
            <w:tcW w:w="516" w:type="pct"/>
            <w:gridSpan w:val="2"/>
            <w:tcBorders>
              <w:top w:val="single" w:sz="8" w:space="0" w:color="548235"/>
              <w:left w:val="nil"/>
              <w:bottom w:val="nil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 total de jueces y juezas / población del Estado de Morelos /100,000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Razón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Ascendente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2021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3.5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548235"/>
              <w:right w:val="nil"/>
            </w:tcBorders>
            <w:shd w:val="clear" w:color="000000" w:fill="E2EFDA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9%</w:t>
            </w:r>
          </w:p>
        </w:tc>
      </w:tr>
      <w:tr w:rsidR="00FD12A5" w:rsidRPr="00FD12A5" w:rsidTr="00FD12A5">
        <w:trPr>
          <w:trHeight w:val="525"/>
        </w:trPr>
        <w:tc>
          <w:tcPr>
            <w:tcW w:w="3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Cobertura  de servicios de </w:t>
            </w: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solucion</w:t>
            </w:r>
            <w:proofErr w:type="spellEnd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 de conflictos por mecanismos alternativos en el Estado de Morelos</w:t>
            </w:r>
          </w:p>
        </w:tc>
        <w:tc>
          <w:tcPr>
            <w:tcW w:w="419" w:type="pct"/>
            <w:gridSpan w:val="2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Expresa la </w:t>
            </w: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proporcion</w:t>
            </w:r>
            <w:proofErr w:type="spellEnd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 de facilitadores del Sistema de Justicia Alternativa por cada 100,000 habitantes</w:t>
            </w:r>
          </w:p>
        </w:tc>
        <w:tc>
          <w:tcPr>
            <w:tcW w:w="516" w:type="pct"/>
            <w:gridSpan w:val="2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Numero de facilitadores del Sistema de Justicia Alternativa / población del Estado de Morelos /100,000 </w:t>
            </w:r>
          </w:p>
        </w:tc>
        <w:tc>
          <w:tcPr>
            <w:tcW w:w="262" w:type="pct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Razón</w:t>
            </w:r>
          </w:p>
        </w:tc>
        <w:tc>
          <w:tcPr>
            <w:tcW w:w="248" w:type="pct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Cobertura</w:t>
            </w:r>
          </w:p>
        </w:tc>
        <w:tc>
          <w:tcPr>
            <w:tcW w:w="261" w:type="pct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292" w:type="pct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Ascendente</w:t>
            </w:r>
          </w:p>
        </w:tc>
        <w:tc>
          <w:tcPr>
            <w:tcW w:w="284" w:type="pct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99" w:type="pct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2021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0.25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0.25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0.25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0.25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0.25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0.25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548235"/>
              <w:right w:val="nil"/>
            </w:tcBorders>
            <w:shd w:val="clear" w:color="000000" w:fill="E2EFDA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1%</w:t>
            </w: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>Propósito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Los justiciables acceden al sistema de justicia alternativa para la solución de sus conflictos,  </w:t>
            </w: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involucrandose</w:t>
            </w:r>
            <w:proofErr w:type="spellEnd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 de manera voluntaria y proactiva, con la ayuda de mediadores certificados, observando en todo momento los principios de voluntariedad, confidencialidad, equidad y flexibilidad, sin afectar derechos de terceros ni el orden.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Indice</w:t>
            </w:r>
            <w:proofErr w:type="spellEnd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 de conclusión de expedientes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Refleja el grado de atención de las causas iniciadas en las distintas sedes del Centro Morelense de Mecanismos Alternativos para la Solución de Controversias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( Total de expedientes concluidos en el sistema de justicia alternativa  /  total de expedientes </w:t>
            </w:r>
            <w:r w:rsidRPr="00FD12A5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s-MX"/>
              </w:rPr>
              <w:t>iniciados</w:t>
            </w: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 en el sistema de justicia alternativa) X 100.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Ascendente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2021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73%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73%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73%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73%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73%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70.8%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shd w:val="clear" w:color="000000" w:fill="E2EFDA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84" w:type="pct"/>
            <w:vMerge w:val="restar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-3%</w:t>
            </w: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3" w:type="pct"/>
            <w:gridSpan w:val="2"/>
            <w:tcBorders>
              <w:top w:val="single" w:sz="8" w:space="0" w:color="548235"/>
              <w:left w:val="nil"/>
              <w:bottom w:val="nil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Avance  2022 Valor absoluto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169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3" w:type="pct"/>
            <w:gridSpan w:val="2"/>
            <w:tcBorders>
              <w:top w:val="single" w:sz="8" w:space="0" w:color="548235"/>
              <w:left w:val="nil"/>
              <w:bottom w:val="nil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Avance 2022 Valor relativo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72.3%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62.5%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72.1%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80%</w:t>
            </w:r>
          </w:p>
        </w:tc>
        <w:tc>
          <w:tcPr>
            <w:tcW w:w="169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Componente </w:t>
            </w: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1 </w:t>
            </w:r>
            <w:r w:rsidRPr="00FD12A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Gestión Sistema Justicia Alternativa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Conflictos </w:t>
            </w: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concluidos por mecanismos alternativos de solución 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Porcentaje </w:t>
            </w: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de acuerdos celebrados 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Expresa el </w:t>
            </w: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>grado de solución de conflictos mediante la celebración de acuerdos de los expedientes concluidos en las distintas sedes del Centro Morelense de Mecanismos Alternativos para la Solución de Controversias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( Total de </w:t>
            </w: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>acuerdos celebrados  /  total de expedientes</w:t>
            </w:r>
            <w:r w:rsidRPr="00FD12A5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s-MX"/>
              </w:rPr>
              <w:t xml:space="preserve"> concluidos</w:t>
            </w: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 en el sistema de justicia alternativa) X 100.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>Porcenta</w:t>
            </w: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>je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>Gestión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Ascenden</w:t>
            </w: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>te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>Trimestra</w:t>
            </w: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>l</w:t>
            </w:r>
          </w:p>
        </w:tc>
        <w:tc>
          <w:tcPr>
            <w:tcW w:w="99" w:type="pct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>202</w:t>
            </w: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>1</w:t>
            </w:r>
          </w:p>
        </w:tc>
        <w:tc>
          <w:tcPr>
            <w:tcW w:w="104" w:type="pct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>40</w:t>
            </w: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>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>40%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40%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40%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115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42.4%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shd w:val="clear" w:color="000000" w:fill="E2EFDA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84" w:type="pct"/>
            <w:vMerge w:val="restar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6%</w:t>
            </w: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3" w:type="pct"/>
            <w:gridSpan w:val="2"/>
            <w:tcBorders>
              <w:top w:val="single" w:sz="8" w:space="0" w:color="548235"/>
              <w:left w:val="nil"/>
              <w:bottom w:val="nil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Avance  2022 Valor absoluto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69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3" w:type="pct"/>
            <w:gridSpan w:val="2"/>
            <w:tcBorders>
              <w:top w:val="single" w:sz="8" w:space="0" w:color="548235"/>
              <w:left w:val="nil"/>
              <w:bottom w:val="nil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Avance 2022 Valor relativo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45.0%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43.8%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35.5%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44.9%</w:t>
            </w:r>
          </w:p>
        </w:tc>
        <w:tc>
          <w:tcPr>
            <w:tcW w:w="169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Tiempo promedio de resolución de conflictos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Mide el tiempo promedio de resolución de los expedientes concluidos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Suma de la diferencia en </w:t>
            </w: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dias</w:t>
            </w:r>
            <w:proofErr w:type="spellEnd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 entre la fecha de inicio del expediente y la fecha de su conclusión  / total de expedientes concluidos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Dias</w:t>
            </w:r>
            <w:proofErr w:type="spellEnd"/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Descendente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99" w:type="pct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2021</w:t>
            </w:r>
          </w:p>
        </w:tc>
        <w:tc>
          <w:tcPr>
            <w:tcW w:w="104" w:type="pct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18.6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18.6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shd w:val="clear" w:color="000000" w:fill="E2EFDA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84" w:type="pct"/>
            <w:vMerge w:val="restar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-26%</w:t>
            </w: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3" w:type="pct"/>
            <w:gridSpan w:val="2"/>
            <w:tcBorders>
              <w:top w:val="single" w:sz="8" w:space="0" w:color="548235"/>
              <w:left w:val="nil"/>
              <w:bottom w:val="nil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Avance  2022 Valor absoluto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69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3" w:type="pct"/>
            <w:gridSpan w:val="2"/>
            <w:tcBorders>
              <w:top w:val="single" w:sz="8" w:space="0" w:color="548235"/>
              <w:left w:val="nil"/>
              <w:bottom w:val="nil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Avance 2022 Valor relativo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9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Indice</w:t>
            </w:r>
            <w:proofErr w:type="spellEnd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satisfaccion</w:t>
            </w:r>
            <w:proofErr w:type="spellEnd"/>
          </w:p>
        </w:tc>
        <w:tc>
          <w:tcPr>
            <w:tcW w:w="419" w:type="pct"/>
            <w:gridSpan w:val="2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Expresa el grado de </w:t>
            </w: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satisfaccion</w:t>
            </w:r>
            <w:proofErr w:type="spellEnd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 respecto al servicio recibido en las distintas sedes del Centro Morelense de Mecanismos Alternativos para la Solución de Controversias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Suma de calificación del servicio recibido / Total de expedientes concluidos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Calidad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Ascendente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99" w:type="pct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2021</w:t>
            </w:r>
          </w:p>
        </w:tc>
        <w:tc>
          <w:tcPr>
            <w:tcW w:w="104" w:type="pct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90%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90%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90%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90%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90%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5765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99.4%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shd w:val="clear" w:color="000000" w:fill="E2EFDA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84" w:type="pct"/>
            <w:vMerge w:val="restar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10%</w:t>
            </w: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3" w:type="pct"/>
            <w:gridSpan w:val="2"/>
            <w:tcBorders>
              <w:top w:val="single" w:sz="8" w:space="0" w:color="548235"/>
              <w:left w:val="nil"/>
              <w:bottom w:val="nil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Avance  2022 Valor absoluto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920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1518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1875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1452</w:t>
            </w:r>
          </w:p>
        </w:tc>
        <w:tc>
          <w:tcPr>
            <w:tcW w:w="169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3" w:type="pct"/>
            <w:gridSpan w:val="2"/>
            <w:tcBorders>
              <w:top w:val="single" w:sz="8" w:space="0" w:color="548235"/>
              <w:left w:val="nil"/>
              <w:bottom w:val="nil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Avance 2022 Valor relativo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97.9%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99%</w:t>
            </w:r>
          </w:p>
        </w:tc>
        <w:tc>
          <w:tcPr>
            <w:tcW w:w="169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Atención de personas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Promedio de personas atendidas </w:t>
            </w: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al </w:t>
            </w: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dia</w:t>
            </w:r>
            <w:proofErr w:type="spellEnd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 por facilitador.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Refleja el </w:t>
            </w: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 de personas atendidas </w:t>
            </w: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>diariamente por cada facilitador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Total de personas atendidas / Número de facilitadores/ </w:t>
            </w: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>numero</w:t>
            </w:r>
            <w:proofErr w:type="spellEnd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dias</w:t>
            </w:r>
            <w:proofErr w:type="spellEnd"/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 laborados del periodo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>Personas x facilitador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Ascendente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99" w:type="pct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2021</w:t>
            </w:r>
          </w:p>
        </w:tc>
        <w:tc>
          <w:tcPr>
            <w:tcW w:w="104" w:type="pct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2964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2.7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shd w:val="clear" w:color="000000" w:fill="E2EFDA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84" w:type="pct"/>
            <w:vMerge w:val="restar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8%</w:t>
            </w: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3" w:type="pct"/>
            <w:gridSpan w:val="2"/>
            <w:tcBorders>
              <w:top w:val="single" w:sz="8" w:space="0" w:color="548235"/>
              <w:left w:val="nil"/>
              <w:bottom w:val="nil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Avance  2022 </w:t>
            </w: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Valor absoluto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lastRenderedPageBreak/>
              <w:t>620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169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3" w:type="pct"/>
            <w:gridSpan w:val="2"/>
            <w:tcBorders>
              <w:top w:val="single" w:sz="8" w:space="0" w:color="548235"/>
              <w:left w:val="nil"/>
              <w:bottom w:val="nil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Avance 2022 Valor relativo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2.8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2.7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169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Actividad 1.2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Ejecución de Invitaciones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Porcentaje de invitaciones realizadas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Mide la proporción de invitaciones realizadas respecto a la cantidad de expedientes iniciados 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(Número de invitaciones realizadas en el periodo / Expedientes iniciados en el periodo) x 100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invitaciones por expediente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Ascendente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99" w:type="pct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2021</w:t>
            </w:r>
          </w:p>
        </w:tc>
        <w:tc>
          <w:tcPr>
            <w:tcW w:w="104" w:type="pct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1106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2.9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shd w:val="clear" w:color="000000" w:fill="E2EFDA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84" w:type="pct"/>
            <w:vMerge w:val="restar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-4%</w:t>
            </w: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3" w:type="pct"/>
            <w:gridSpan w:val="2"/>
            <w:tcBorders>
              <w:top w:val="single" w:sz="8" w:space="0" w:color="548235"/>
              <w:left w:val="nil"/>
              <w:bottom w:val="nil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Avance  2022 Valor absoluto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169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3" w:type="pct"/>
            <w:gridSpan w:val="2"/>
            <w:tcBorders>
              <w:top w:val="single" w:sz="8" w:space="0" w:color="548235"/>
              <w:left w:val="nil"/>
              <w:bottom w:val="nil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Avance 2022 Valor relativo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169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Actividad 1.3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Realización de sesiones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Porcentaje de sesiones realizadas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Mide la proporción de sesiones realizadas respecto a la cantidad de expedientes iniciados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(Sesiones realizadas/ expedientes iniciados) x 100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Sesiones por expediente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Ascendente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99" w:type="pct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2021</w:t>
            </w:r>
          </w:p>
        </w:tc>
        <w:tc>
          <w:tcPr>
            <w:tcW w:w="104" w:type="pct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1271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shd w:val="clear" w:color="000000" w:fill="E2EFDA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84" w:type="pct"/>
            <w:vMerge w:val="restar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11%</w:t>
            </w: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3" w:type="pct"/>
            <w:gridSpan w:val="2"/>
            <w:tcBorders>
              <w:top w:val="single" w:sz="8" w:space="0" w:color="548235"/>
              <w:left w:val="nil"/>
              <w:bottom w:val="nil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Avance  2022 Valor absoluto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169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3" w:type="pct"/>
            <w:gridSpan w:val="2"/>
            <w:tcBorders>
              <w:top w:val="single" w:sz="8" w:space="0" w:color="548235"/>
              <w:left w:val="nil"/>
              <w:bottom w:val="nil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Avance 2022 Valor relativo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3.5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169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Actividad 1.4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Homologación de acuerdos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Tasa de homologación de acuerdos celebrados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Mide el porcentaje que representan el número de acuerdos homologados con respecto del total de acuerdos celebrados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(Número acuerdos homologados / total de acuerdos celebrados en el periodo)x100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Ascendente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99" w:type="pct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2021</w:t>
            </w:r>
          </w:p>
        </w:tc>
        <w:tc>
          <w:tcPr>
            <w:tcW w:w="104" w:type="pct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70%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70%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70%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70%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70%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71.3%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shd w:val="clear" w:color="000000" w:fill="E2EFDA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Verde</w:t>
            </w:r>
          </w:p>
        </w:tc>
        <w:tc>
          <w:tcPr>
            <w:tcW w:w="184" w:type="pct"/>
            <w:vMerge w:val="restar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2%</w:t>
            </w: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3" w:type="pct"/>
            <w:gridSpan w:val="2"/>
            <w:tcBorders>
              <w:top w:val="single" w:sz="8" w:space="0" w:color="548235"/>
              <w:left w:val="nil"/>
              <w:bottom w:val="nil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Avance  2022 Valor absoluto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69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D12A5" w:rsidRPr="00FD12A5" w:rsidTr="00FD12A5">
        <w:trPr>
          <w:trHeight w:val="270"/>
        </w:trPr>
        <w:tc>
          <w:tcPr>
            <w:tcW w:w="3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3" w:type="pct"/>
            <w:gridSpan w:val="2"/>
            <w:tcBorders>
              <w:top w:val="single" w:sz="8" w:space="0" w:color="548235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MX"/>
              </w:rPr>
              <w:t>Avance 2022 Valor relativo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74.1%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51.4%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72.7%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FD12A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90.0%</w:t>
            </w:r>
          </w:p>
        </w:tc>
        <w:tc>
          <w:tcPr>
            <w:tcW w:w="169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8" w:space="0" w:color="548235"/>
              <w:bottom w:val="single" w:sz="8" w:space="0" w:color="548235"/>
              <w:right w:val="nil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vAlign w:val="center"/>
            <w:hideMark/>
          </w:tcPr>
          <w:p w:rsidR="00FD12A5" w:rsidRPr="00FD12A5" w:rsidRDefault="00FD12A5" w:rsidP="00FD12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602F06" w:rsidRDefault="00602F06"/>
    <w:sectPr w:rsidR="00602F06" w:rsidSect="00FD12A5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C2" w:rsidRDefault="00DB04C2" w:rsidP="00FD12A5">
      <w:pPr>
        <w:spacing w:after="0" w:line="240" w:lineRule="auto"/>
      </w:pPr>
      <w:r>
        <w:separator/>
      </w:r>
    </w:p>
  </w:endnote>
  <w:endnote w:type="continuationSeparator" w:id="0">
    <w:p w:rsidR="00DB04C2" w:rsidRDefault="00DB04C2" w:rsidP="00FD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C2" w:rsidRDefault="00DB04C2" w:rsidP="00FD12A5">
      <w:pPr>
        <w:spacing w:after="0" w:line="240" w:lineRule="auto"/>
      </w:pPr>
      <w:r>
        <w:separator/>
      </w:r>
    </w:p>
  </w:footnote>
  <w:footnote w:type="continuationSeparator" w:id="0">
    <w:p w:rsidR="00DB04C2" w:rsidRDefault="00DB04C2" w:rsidP="00FD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5" w:rsidRDefault="00FD12A5" w:rsidP="00FD12A5">
    <w:pPr>
      <w:pStyle w:val="Encabezado"/>
      <w:tabs>
        <w:tab w:val="clear" w:pos="4419"/>
        <w:tab w:val="clear" w:pos="8838"/>
        <w:tab w:val="left" w:pos="7985"/>
      </w:tabs>
    </w:pPr>
    <w:r>
      <w:tab/>
    </w:r>
  </w:p>
  <w:p w:rsidR="00FD12A5" w:rsidRDefault="00DC0456" w:rsidP="00DC0456">
    <w:pPr>
      <w:pStyle w:val="Encabezado"/>
      <w:tabs>
        <w:tab w:val="clear" w:pos="4419"/>
        <w:tab w:val="clear" w:pos="8838"/>
        <w:tab w:val="left" w:pos="461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A5"/>
    <w:rsid w:val="000F7916"/>
    <w:rsid w:val="00602F06"/>
    <w:rsid w:val="00820897"/>
    <w:rsid w:val="009430A9"/>
    <w:rsid w:val="00DB04C2"/>
    <w:rsid w:val="00DC0456"/>
    <w:rsid w:val="00F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2A5"/>
  </w:style>
  <w:style w:type="paragraph" w:styleId="Piedepgina">
    <w:name w:val="footer"/>
    <w:basedOn w:val="Normal"/>
    <w:link w:val="PiedepginaCar"/>
    <w:uiPriority w:val="99"/>
    <w:unhideWhenUsed/>
    <w:rsid w:val="00FD1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2A5"/>
  </w:style>
  <w:style w:type="paragraph" w:styleId="Textodeglobo">
    <w:name w:val="Balloon Text"/>
    <w:basedOn w:val="Normal"/>
    <w:link w:val="TextodegloboCar"/>
    <w:uiPriority w:val="99"/>
    <w:semiHidden/>
    <w:unhideWhenUsed/>
    <w:rsid w:val="00DC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2A5"/>
  </w:style>
  <w:style w:type="paragraph" w:styleId="Piedepgina">
    <w:name w:val="footer"/>
    <w:basedOn w:val="Normal"/>
    <w:link w:val="PiedepginaCar"/>
    <w:uiPriority w:val="99"/>
    <w:unhideWhenUsed/>
    <w:rsid w:val="00FD1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2A5"/>
  </w:style>
  <w:style w:type="paragraph" w:styleId="Textodeglobo">
    <w:name w:val="Balloon Text"/>
    <w:basedOn w:val="Normal"/>
    <w:link w:val="TextodegloboCar"/>
    <w:uiPriority w:val="99"/>
    <w:semiHidden/>
    <w:unhideWhenUsed/>
    <w:rsid w:val="00DC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obruno</dc:creator>
  <cp:lastModifiedBy>obruno</cp:lastModifiedBy>
  <cp:revision>4</cp:revision>
  <cp:lastPrinted>2023-01-18T16:41:00Z</cp:lastPrinted>
  <dcterms:created xsi:type="dcterms:W3CDTF">2023-01-18T16:39:00Z</dcterms:created>
  <dcterms:modified xsi:type="dcterms:W3CDTF">2023-01-18T17:35:00Z</dcterms:modified>
</cp:coreProperties>
</file>