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B9E" w:rsidRDefault="00D05B9E" w:rsidP="00D05B9E">
      <w:pPr>
        <w:spacing w:after="0" w:line="240" w:lineRule="auto"/>
        <w:outlineLvl w:val="0"/>
        <w:rPr>
          <w:rFonts w:ascii="Cambria" w:eastAsia="Times New Roman" w:hAnsi="Cambria" w:cs="Times New Roman"/>
          <w:b/>
          <w:bCs/>
          <w:kern w:val="28"/>
          <w:sz w:val="32"/>
          <w:szCs w:val="32"/>
          <w:lang w:val="es-ES" w:eastAsia="es-ES"/>
        </w:rPr>
      </w:pPr>
      <w:r>
        <w:rPr>
          <w:rFonts w:ascii="Cambria" w:eastAsia="Times New Roman" w:hAnsi="Cambria" w:cs="Times New Roman"/>
          <w:b/>
          <w:bCs/>
          <w:kern w:val="28"/>
          <w:sz w:val="32"/>
          <w:szCs w:val="32"/>
          <w:lang w:val="es-ES" w:eastAsia="es-ES"/>
        </w:rPr>
        <w:t xml:space="preserve">               </w:t>
      </w:r>
      <w:r w:rsidRPr="00D05B9E">
        <w:rPr>
          <w:rFonts w:ascii="Cambria" w:eastAsia="Times New Roman" w:hAnsi="Cambria" w:cs="Times New Roman"/>
          <w:b/>
          <w:bCs/>
          <w:kern w:val="28"/>
          <w:sz w:val="32"/>
          <w:szCs w:val="32"/>
          <w:lang w:val="es-ES" w:eastAsia="es-ES"/>
        </w:rPr>
        <w:t xml:space="preserve">           NOTAS A LOS ESTADOS FINANCIEROS</w:t>
      </w:r>
    </w:p>
    <w:p w:rsidR="00D05B9E" w:rsidRPr="00D05B9E" w:rsidRDefault="00D05B9E" w:rsidP="00D05B9E">
      <w:pPr>
        <w:spacing w:after="0" w:line="240" w:lineRule="auto"/>
        <w:outlineLvl w:val="0"/>
        <w:rPr>
          <w:rFonts w:ascii="Cambria" w:eastAsia="Times New Roman" w:hAnsi="Cambria" w:cs="Times New Roman"/>
          <w:b/>
          <w:bCs/>
          <w:kern w:val="28"/>
          <w:sz w:val="32"/>
          <w:szCs w:val="32"/>
          <w:lang w:val="es-ES" w:eastAsia="es-ES"/>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De acuerdo a lo establecido en los artículos 46, 47, 49 y 52 de la Ley General de Contabilidad Gubernamental, los entes públicos deberán emitir de forma periódica estados financieros, así mismo, se deberá de acompañar de Notas a los Estados Financieros cuyos rubros así lo requieran, teniendo presente los postulados de revelación suficiente e importancia relativa con la finalidad de que la información sea de mayor utilidad para los usuarios con la finalidad de proporcionar y revelar información adicional y suficiente que amplié el contenido de los mismos.</w:t>
      </w:r>
    </w:p>
    <w:p w:rsidR="00D05B9E" w:rsidRPr="00D05B9E" w:rsidRDefault="00D05B9E" w:rsidP="00D05B9E">
      <w:pPr>
        <w:spacing w:after="0" w:line="240" w:lineRule="auto"/>
        <w:rPr>
          <w:rFonts w:ascii="Trebuchet MS" w:hAnsi="Trebuchet MS"/>
          <w:sz w:val="24"/>
          <w:szCs w:val="24"/>
        </w:rPr>
      </w:pP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A) Notas de Desglose:</w:t>
      </w:r>
    </w:p>
    <w:p w:rsidR="00D05B9E" w:rsidRPr="00D05B9E" w:rsidRDefault="00D05B9E" w:rsidP="00D05B9E">
      <w:pPr>
        <w:spacing w:after="0" w:line="240" w:lineRule="auto"/>
        <w:ind w:left="708" w:hanging="708"/>
        <w:rPr>
          <w:rFonts w:ascii="Trebuchet MS" w:hAnsi="Trebuchet MS"/>
          <w:sz w:val="24"/>
          <w:szCs w:val="24"/>
        </w:rPr>
      </w:pPr>
      <w:r w:rsidRPr="00D05B9E">
        <w:rPr>
          <w:rFonts w:ascii="Trebuchet MS" w:hAnsi="Trebuchet MS"/>
          <w:sz w:val="24"/>
          <w:szCs w:val="24"/>
        </w:rPr>
        <w:t>A.1) Información Contable</w:t>
      </w: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I Notas al Estado de Situación Financiera</w:t>
      </w: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I.I Activo</w:t>
      </w: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I.I.I Efectivo y Equivalentes</w:t>
      </w:r>
    </w:p>
    <w:p w:rsidR="00D05B9E" w:rsidRPr="00D05B9E" w:rsidRDefault="00D05B9E" w:rsidP="00D05B9E">
      <w:pPr>
        <w:spacing w:after="0" w:line="240" w:lineRule="auto"/>
        <w:rPr>
          <w:rFonts w:ascii="Trebuchet MS" w:hAnsi="Trebuchet MS"/>
          <w:sz w:val="24"/>
          <w:szCs w:val="24"/>
        </w:rPr>
      </w:pPr>
    </w:p>
    <w:p w:rsidR="00D05B9E" w:rsidRPr="00D05B9E" w:rsidRDefault="00D05B9E" w:rsidP="00D05B9E">
      <w:pPr>
        <w:spacing w:after="0" w:line="240" w:lineRule="auto"/>
        <w:rPr>
          <w:rFonts w:ascii="Trebuchet MS" w:hAnsi="Trebuchet MS"/>
          <w:sz w:val="24"/>
        </w:rPr>
      </w:pPr>
      <w:r w:rsidRPr="00D05B9E">
        <w:rPr>
          <w:rFonts w:ascii="Trebuchet MS" w:hAnsi="Trebuchet MS"/>
          <w:sz w:val="24"/>
        </w:rPr>
        <w:t xml:space="preserve">NOTA 1) SALDO DISPONIBLE EN EFECTIVO AL CIERRE DEL CUARTO TRIMESTRE 2022: </w:t>
      </w:r>
    </w:p>
    <w:p w:rsidR="00D05B9E" w:rsidRPr="00D05B9E" w:rsidRDefault="00D05B9E" w:rsidP="00D05B9E">
      <w:pPr>
        <w:jc w:val="both"/>
        <w:rPr>
          <w:rFonts w:ascii="Trebuchet MS" w:hAnsi="Trebuchet MS"/>
          <w:sz w:val="24"/>
          <w:szCs w:val="24"/>
        </w:rPr>
      </w:pPr>
      <w:r w:rsidRPr="00D05B9E">
        <w:rPr>
          <w:rFonts w:ascii="Trebuchet MS" w:hAnsi="Trebuchet MS"/>
          <w:sz w:val="24"/>
          <w:szCs w:val="24"/>
        </w:rPr>
        <w:t xml:space="preserve">Las cuentas que integran el efectivo disponible corresponden a los fondos </w:t>
      </w:r>
      <w:proofErr w:type="spellStart"/>
      <w:r w:rsidRPr="00D05B9E">
        <w:rPr>
          <w:rFonts w:ascii="Trebuchet MS" w:hAnsi="Trebuchet MS"/>
          <w:sz w:val="24"/>
          <w:szCs w:val="24"/>
        </w:rPr>
        <w:t>revolventes</w:t>
      </w:r>
      <w:proofErr w:type="spellEnd"/>
      <w:r w:rsidRPr="00D05B9E">
        <w:rPr>
          <w:rFonts w:ascii="Trebuchet MS" w:hAnsi="Trebuchet MS"/>
          <w:sz w:val="24"/>
          <w:szCs w:val="24"/>
        </w:rPr>
        <w:t xml:space="preserve"> entregados para sufragar las erogaciones de caja de áreas sustantivas para la consecución de objetivos de operación del Poder Judicial del Estado de Morelos al cierre del Cuarto Trimestre se encuentran cancelados atendiendo a las disposiciones y lineamientos internos aplicables.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NOTA 2) SALDO EN BANCOS AL CIERRE DEL CUARTO TRIMESTRE 2022: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El saldo es $550,958 (Quinientos cincuenta mil novecientos cincuenta y ocho pesos) como sigue:</w:t>
      </w:r>
    </w:p>
    <w:tbl>
      <w:tblPr>
        <w:tblW w:w="4600" w:type="dxa"/>
        <w:tblInd w:w="1912" w:type="dxa"/>
        <w:tblCellMar>
          <w:left w:w="70" w:type="dxa"/>
          <w:right w:w="70" w:type="dxa"/>
        </w:tblCellMar>
        <w:tblLook w:val="04A0" w:firstRow="1" w:lastRow="0" w:firstColumn="1" w:lastColumn="0" w:noHBand="0" w:noVBand="1"/>
      </w:tblPr>
      <w:tblGrid>
        <w:gridCol w:w="2760"/>
        <w:gridCol w:w="1840"/>
      </w:tblGrid>
      <w:tr w:rsidR="00D05B9E" w:rsidRPr="00D05B9E" w:rsidTr="00EB03DE">
        <w:trPr>
          <w:trHeight w:val="270"/>
        </w:trPr>
        <w:tc>
          <w:tcPr>
            <w:tcW w:w="2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BANCO</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IMPORTE</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BANORTE, S.A.</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 </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 0464898492 J.O</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7,493 </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 0464898504 J.T.</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2,851</w:t>
            </w:r>
          </w:p>
        </w:tc>
      </w:tr>
      <w:tr w:rsidR="00D05B9E" w:rsidRPr="00D05B9E" w:rsidTr="00EB03DE">
        <w:trPr>
          <w:trHeight w:val="255"/>
        </w:trPr>
        <w:tc>
          <w:tcPr>
            <w:tcW w:w="2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HSBC México, S.A.</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 </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 4065357626 TSJ2021</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109</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Cta.4065357634 Reforma Laboral Estatal</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8</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Cta.4066798638 J.T.2022</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148,345</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Cta.4066798653 </w:t>
            </w:r>
            <w:proofErr w:type="spellStart"/>
            <w:r w:rsidRPr="00D05B9E">
              <w:rPr>
                <w:rFonts w:ascii="Trebuchet MS" w:hAnsi="Trebuchet MS"/>
                <w:color w:val="000000"/>
                <w:sz w:val="16"/>
                <w:szCs w:val="16"/>
                <w:lang w:eastAsia="es-MX"/>
              </w:rPr>
              <w:t>Jub</w:t>
            </w:r>
            <w:proofErr w:type="spellEnd"/>
            <w:r w:rsidRPr="00D05B9E">
              <w:rPr>
                <w:rFonts w:ascii="Trebuchet MS" w:hAnsi="Trebuchet MS"/>
                <w:color w:val="000000"/>
                <w:sz w:val="16"/>
                <w:szCs w:val="16"/>
                <w:lang w:eastAsia="es-MX"/>
              </w:rPr>
              <w:t xml:space="preserve"> y </w:t>
            </w:r>
            <w:proofErr w:type="spellStart"/>
            <w:r w:rsidRPr="00D05B9E">
              <w:rPr>
                <w:rFonts w:ascii="Trebuchet MS" w:hAnsi="Trebuchet MS"/>
                <w:color w:val="000000"/>
                <w:sz w:val="16"/>
                <w:szCs w:val="16"/>
                <w:lang w:eastAsia="es-MX"/>
              </w:rPr>
              <w:t>Pens</w:t>
            </w:r>
            <w:proofErr w:type="spellEnd"/>
            <w:r w:rsidRPr="00D05B9E">
              <w:rPr>
                <w:rFonts w:ascii="Trebuchet MS" w:hAnsi="Trebuchet MS"/>
                <w:color w:val="000000"/>
                <w:sz w:val="16"/>
                <w:szCs w:val="16"/>
                <w:lang w:eastAsia="es-MX"/>
              </w:rPr>
              <w:t xml:space="preserve"> 2022</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13,748</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Santander México S.A</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color w:val="000000"/>
                <w:sz w:val="16"/>
                <w:szCs w:val="16"/>
                <w:lang w:eastAsia="es-MX"/>
              </w:rPr>
              <w:t>Cta.65508524117</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16,433</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sz w:val="16"/>
                <w:szCs w:val="16"/>
                <w:lang w:eastAsia="es-MX"/>
              </w:rPr>
            </w:pPr>
            <w:r w:rsidRPr="00D05B9E">
              <w:rPr>
                <w:rFonts w:ascii="Trebuchet MS" w:hAnsi="Trebuchet MS"/>
                <w:bCs/>
                <w:color w:val="000000"/>
                <w:sz w:val="16"/>
                <w:szCs w:val="16"/>
                <w:lang w:eastAsia="es-MX"/>
              </w:rPr>
              <w:t>BBVA MEXICO SA</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sz w:val="16"/>
                <w:szCs w:val="16"/>
                <w:lang w:eastAsia="es-MX"/>
              </w:rPr>
            </w:pPr>
            <w:r w:rsidRPr="00D05B9E">
              <w:rPr>
                <w:rFonts w:ascii="Trebuchet MS" w:hAnsi="Trebuchet MS"/>
                <w:bCs/>
                <w:color w:val="000000"/>
                <w:sz w:val="16"/>
                <w:szCs w:val="16"/>
                <w:lang w:eastAsia="es-MX"/>
              </w:rPr>
              <w:t>Cta.0119216774 TSJ 2022</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98,693.2</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sz w:val="16"/>
                <w:szCs w:val="16"/>
                <w:lang w:eastAsia="es-MX"/>
              </w:rPr>
            </w:pPr>
            <w:r w:rsidRPr="00D05B9E">
              <w:rPr>
                <w:rFonts w:ascii="Trebuchet MS" w:hAnsi="Trebuchet MS"/>
                <w:bCs/>
                <w:color w:val="000000"/>
                <w:sz w:val="16"/>
                <w:szCs w:val="16"/>
                <w:lang w:eastAsia="es-MX"/>
              </w:rPr>
              <w:t xml:space="preserve">Cta.0119216812 </w:t>
            </w:r>
            <w:proofErr w:type="spellStart"/>
            <w:r w:rsidRPr="00D05B9E">
              <w:rPr>
                <w:rFonts w:ascii="Trebuchet MS" w:hAnsi="Trebuchet MS"/>
                <w:bCs/>
                <w:color w:val="000000"/>
                <w:sz w:val="16"/>
                <w:szCs w:val="16"/>
                <w:lang w:eastAsia="es-MX"/>
              </w:rPr>
              <w:t>Jub</w:t>
            </w:r>
            <w:proofErr w:type="spellEnd"/>
            <w:r w:rsidRPr="00D05B9E">
              <w:rPr>
                <w:rFonts w:ascii="Trebuchet MS" w:hAnsi="Trebuchet MS"/>
                <w:bCs/>
                <w:color w:val="000000"/>
                <w:sz w:val="16"/>
                <w:szCs w:val="16"/>
                <w:lang w:eastAsia="es-MX"/>
              </w:rPr>
              <w:t xml:space="preserve"> y </w:t>
            </w:r>
            <w:proofErr w:type="spellStart"/>
            <w:r w:rsidRPr="00D05B9E">
              <w:rPr>
                <w:rFonts w:ascii="Trebuchet MS" w:hAnsi="Trebuchet MS"/>
                <w:bCs/>
                <w:color w:val="000000"/>
                <w:sz w:val="16"/>
                <w:szCs w:val="16"/>
                <w:lang w:eastAsia="es-MX"/>
              </w:rPr>
              <w:t>Pens</w:t>
            </w:r>
            <w:proofErr w:type="spellEnd"/>
            <w:r w:rsidRPr="00D05B9E">
              <w:rPr>
                <w:rFonts w:ascii="Trebuchet MS" w:hAnsi="Trebuchet MS"/>
                <w:bCs/>
                <w:color w:val="000000"/>
                <w:sz w:val="16"/>
                <w:szCs w:val="16"/>
                <w:lang w:eastAsia="es-MX"/>
              </w:rPr>
              <w:t xml:space="preserve"> 2022</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101,973</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sz w:val="16"/>
                <w:szCs w:val="16"/>
                <w:lang w:eastAsia="es-MX"/>
              </w:rPr>
            </w:pPr>
            <w:r w:rsidRPr="00D05B9E">
              <w:rPr>
                <w:rFonts w:ascii="Trebuchet MS" w:hAnsi="Trebuchet MS"/>
                <w:bCs/>
                <w:color w:val="000000"/>
                <w:sz w:val="16"/>
                <w:szCs w:val="16"/>
                <w:lang w:eastAsia="es-MX"/>
              </w:rPr>
              <w:t>Cta.0119216863 Subsidios IMSS</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color w:val="000000"/>
                <w:sz w:val="16"/>
                <w:szCs w:val="16"/>
                <w:lang w:eastAsia="es-MX"/>
              </w:rPr>
              <w:t>161,305</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6"/>
                <w:szCs w:val="16"/>
                <w:lang w:eastAsia="es-MX"/>
              </w:rPr>
            </w:pPr>
            <w:r w:rsidRPr="00D05B9E">
              <w:rPr>
                <w:rFonts w:ascii="Trebuchet MS" w:hAnsi="Trebuchet MS"/>
                <w:b/>
                <w:bCs/>
                <w:color w:val="000000"/>
                <w:sz w:val="16"/>
                <w:szCs w:val="16"/>
                <w:lang w:eastAsia="es-MX"/>
              </w:rPr>
              <w:t>Suma</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6"/>
                <w:szCs w:val="16"/>
                <w:lang w:eastAsia="es-MX"/>
              </w:rPr>
            </w:pPr>
            <w:r w:rsidRPr="00D05B9E">
              <w:rPr>
                <w:rFonts w:ascii="Trebuchet MS" w:hAnsi="Trebuchet MS"/>
                <w:b/>
                <w:color w:val="000000"/>
                <w:sz w:val="16"/>
                <w:szCs w:val="16"/>
                <w:lang w:eastAsia="es-MX"/>
              </w:rPr>
              <w:t>550,958</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b/>
                <w:color w:val="000000"/>
                <w:highlight w:val="yellow"/>
                <w:lang w:eastAsia="es-MX"/>
              </w:rPr>
            </w:pP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NOTA 3) INVERSIONES FINANCIERAS A CORTO PLAZO AL CUARTO TRIMESTRE 2022: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Derivado de la adecuada administración del recurso económico, permitió que las inversiones de disponibilidades financieras, generaran ingresos por concepto de rendimientos por un importe de $6’518,923 (Seis millones quinientos dieciocho mil novecientos veinte tres pesos), lo cual coadyuva en el financiamiento del Programa Operativo Anual. Al final del periodo que se informa se tiene invertido en títulos gubernamentales un total de $106’712,482 (ciento seis millones setecientos doce mil cuatrocientos ochenta y dos pesos), contratado a tasa de interés preferencial así como disponibilidad inmediata y de corto plazo; mismos que están etiquetados para hacer frente a los compromisos con los que cuenta la institución principalmente derivados de retenciones de terceros provenientes de servicios personales.</w:t>
      </w:r>
    </w:p>
    <w:tbl>
      <w:tblPr>
        <w:tblpPr w:leftFromText="141" w:rightFromText="141" w:vertAnchor="text" w:horzAnchor="margin" w:tblpXSpec="center" w:tblpY="89"/>
        <w:tblW w:w="3644" w:type="dxa"/>
        <w:tblCellMar>
          <w:left w:w="70" w:type="dxa"/>
          <w:right w:w="70" w:type="dxa"/>
        </w:tblCellMar>
        <w:tblLook w:val="04A0" w:firstRow="1" w:lastRow="0" w:firstColumn="1" w:lastColumn="0" w:noHBand="0" w:noVBand="1"/>
      </w:tblPr>
      <w:tblGrid>
        <w:gridCol w:w="4430"/>
        <w:gridCol w:w="1462"/>
      </w:tblGrid>
      <w:tr w:rsidR="00D05B9E" w:rsidRPr="00D05B9E" w:rsidTr="00EB03DE">
        <w:trPr>
          <w:trHeight w:val="26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BANCO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IMPORTE</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HSBC México, S.A.</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6436562692 J.T. 2016</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2,322,171 </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6436562700 J.O 2016</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2,053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6437796760 Pasivos</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303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6464362000 H.R</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18,745,073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Cta.6512186243 Ejecución Reforma Laboral</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349</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Cta.6508638538 TSJ2021</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1,120,751</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Cta.6536064714 TSJ2022</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2,011,354</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 xml:space="preserve">Cta.6536074722 </w:t>
            </w:r>
            <w:proofErr w:type="spellStart"/>
            <w:r w:rsidRPr="00D05B9E">
              <w:rPr>
                <w:rFonts w:ascii="Trebuchet MS" w:hAnsi="Trebuchet MS"/>
                <w:color w:val="000000"/>
                <w:lang w:eastAsia="es-MX"/>
              </w:rPr>
              <w:t>Inv</w:t>
            </w:r>
            <w:proofErr w:type="spellEnd"/>
            <w:r w:rsidRPr="00D05B9E">
              <w:rPr>
                <w:rFonts w:ascii="Trebuchet MS" w:hAnsi="Trebuchet MS"/>
                <w:color w:val="000000"/>
                <w:lang w:eastAsia="es-MX"/>
              </w:rPr>
              <w:t xml:space="preserve"> </w:t>
            </w:r>
            <w:proofErr w:type="spellStart"/>
            <w:r w:rsidRPr="00D05B9E">
              <w:rPr>
                <w:rFonts w:ascii="Trebuchet MS" w:hAnsi="Trebuchet MS"/>
                <w:color w:val="000000"/>
                <w:lang w:eastAsia="es-MX"/>
              </w:rPr>
              <w:t>Jub</w:t>
            </w:r>
            <w:proofErr w:type="spellEnd"/>
            <w:r w:rsidRPr="00D05B9E">
              <w:rPr>
                <w:rFonts w:ascii="Trebuchet MS" w:hAnsi="Trebuchet MS"/>
                <w:color w:val="000000"/>
                <w:lang w:eastAsia="es-MX"/>
              </w:rPr>
              <w:t xml:space="preserve"> y Pen 2022</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1,994,323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
                <w:bCs/>
                <w:color w:val="000000"/>
                <w:lang w:eastAsia="es-MX"/>
              </w:rPr>
            </w:pPr>
            <w:r w:rsidRPr="00D05B9E">
              <w:rPr>
                <w:rFonts w:ascii="Trebuchet MS" w:hAnsi="Trebuchet MS"/>
                <w:color w:val="000000"/>
                <w:lang w:eastAsia="es-MX"/>
              </w:rPr>
              <w:t>BBVA MEXICO SA</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b/>
                <w:bCs/>
                <w:color w:val="000000"/>
                <w:lang w:eastAsia="es-MX"/>
              </w:rPr>
            </w:pP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lang w:eastAsia="es-MX"/>
              </w:rPr>
            </w:pPr>
            <w:r w:rsidRPr="00D05B9E">
              <w:rPr>
                <w:rFonts w:ascii="Trebuchet MS" w:hAnsi="Trebuchet MS"/>
                <w:bCs/>
                <w:color w:val="000000"/>
                <w:lang w:eastAsia="es-MX"/>
              </w:rPr>
              <w:t>Contrato 2056249922 Jubilados</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57,544,603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lang w:eastAsia="es-MX"/>
              </w:rPr>
            </w:pPr>
            <w:r w:rsidRPr="00D05B9E">
              <w:rPr>
                <w:rFonts w:ascii="Trebuchet MS" w:hAnsi="Trebuchet MS"/>
                <w:bCs/>
                <w:color w:val="000000"/>
                <w:lang w:eastAsia="es-MX"/>
              </w:rPr>
              <w:t>Contrato 2056249825 TSJ</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22,971,502</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b/>
                <w:bCs/>
                <w:color w:val="000000"/>
                <w:lang w:eastAsia="es-MX"/>
              </w:rPr>
            </w:pPr>
            <w:r w:rsidRPr="00D05B9E">
              <w:rPr>
                <w:rFonts w:ascii="Trebuchet MS" w:hAnsi="Trebuchet MS"/>
                <w:b/>
                <w:bCs/>
                <w:color w:val="000000"/>
                <w:lang w:eastAsia="es-MX"/>
              </w:rPr>
              <w:t>Suma</w:t>
            </w:r>
          </w:p>
        </w:tc>
        <w:tc>
          <w:tcPr>
            <w:tcW w:w="0" w:type="auto"/>
            <w:tcBorders>
              <w:top w:val="nil"/>
              <w:left w:val="nil"/>
              <w:bottom w:val="single" w:sz="4" w:space="0" w:color="auto"/>
              <w:right w:val="single" w:sz="4" w:space="0" w:color="auto"/>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b/>
                <w:bCs/>
                <w:color w:val="000000"/>
                <w:lang w:eastAsia="es-MX"/>
              </w:rPr>
            </w:pPr>
            <w:r w:rsidRPr="00D05B9E">
              <w:rPr>
                <w:rFonts w:ascii="Trebuchet MS" w:hAnsi="Trebuchet MS"/>
                <w:b/>
                <w:bCs/>
                <w:color w:val="000000"/>
                <w:lang w:eastAsia="es-MX"/>
              </w:rPr>
              <w:t xml:space="preserve">106,712,482 </w:t>
            </w:r>
          </w:p>
        </w:tc>
      </w:tr>
    </w:tbl>
    <w:p w:rsidR="00D05B9E" w:rsidRPr="00D05B9E" w:rsidRDefault="00D05B9E" w:rsidP="00D05B9E">
      <w:pPr>
        <w:spacing w:after="0" w:line="240" w:lineRule="auto"/>
      </w:pPr>
    </w:p>
    <w:p w:rsidR="00D05B9E" w:rsidRPr="00D05B9E" w:rsidRDefault="00D05B9E" w:rsidP="00D05B9E">
      <w:pPr>
        <w:spacing w:after="0" w:line="240" w:lineRule="auto"/>
      </w:pPr>
    </w:p>
    <w:p w:rsidR="00D05B9E" w:rsidRPr="00D05B9E" w:rsidRDefault="00D05B9E" w:rsidP="00D05B9E">
      <w:pPr>
        <w:spacing w:after="0" w:line="240" w:lineRule="auto"/>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I.I.II</w:t>
      </w:r>
      <w:r w:rsidRPr="00D05B9E">
        <w:rPr>
          <w:rFonts w:ascii="Trebuchet MS" w:hAnsi="Trebuchet MS"/>
          <w:sz w:val="24"/>
          <w:szCs w:val="24"/>
        </w:rPr>
        <w:tab/>
        <w:t>Derechos a recibir Efectivo y Equivalentes y Bienes o Servicios a Recibir</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DEUDORES DIVERSOS POR COBRAR A CORTO PLAZO AL CIERRE DEL CUARTO TRIMESTRE 2022: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Se refleja un saldo por la cantidad de $ 92,580 (noventa y dos mil quinientos ochenta  pesos), importe que se conforma principalmente por gastos por comprobar mismas que serán recuperados a la brevedad.</w:t>
      </w:r>
    </w:p>
    <w:p w:rsidR="00D05B9E" w:rsidRPr="00D05B9E" w:rsidRDefault="00D05B9E" w:rsidP="00D05B9E">
      <w:pPr>
        <w:spacing w:after="0" w:line="240" w:lineRule="auto"/>
        <w:jc w:val="both"/>
        <w:rPr>
          <w:rFonts w:ascii="Trebuchet MS" w:hAnsi="Trebuchet MS"/>
          <w:sz w:val="24"/>
          <w:szCs w:val="24"/>
        </w:rPr>
      </w:pPr>
    </w:p>
    <w:tbl>
      <w:tblPr>
        <w:tblW w:w="4650" w:type="dxa"/>
        <w:tblInd w:w="2364" w:type="dxa"/>
        <w:tblCellMar>
          <w:left w:w="70" w:type="dxa"/>
          <w:right w:w="70" w:type="dxa"/>
        </w:tblCellMar>
        <w:tblLook w:val="04A0" w:firstRow="1" w:lastRow="0" w:firstColumn="1" w:lastColumn="0" w:noHBand="0" w:noVBand="1"/>
      </w:tblPr>
      <w:tblGrid>
        <w:gridCol w:w="2810"/>
        <w:gridCol w:w="1840"/>
      </w:tblGrid>
      <w:tr w:rsidR="00D05B9E" w:rsidRPr="00D05B9E" w:rsidTr="00EB03DE">
        <w:trPr>
          <w:trHeight w:val="255"/>
        </w:trPr>
        <w:tc>
          <w:tcPr>
            <w:tcW w:w="28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DEUDOR</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IMPORTE</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Deudores</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19,400</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Deudores internos</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center"/>
              <w:rPr>
                <w:rFonts w:ascii="Trebuchet MS" w:hAnsi="Trebuchet MS"/>
                <w:color w:val="000000"/>
                <w:lang w:eastAsia="es-MX"/>
              </w:rPr>
            </w:pPr>
            <w:r w:rsidRPr="00D05B9E">
              <w:rPr>
                <w:rFonts w:ascii="Trebuchet MS" w:hAnsi="Trebuchet MS"/>
                <w:color w:val="000000"/>
                <w:lang w:eastAsia="es-MX"/>
              </w:rPr>
              <w:t xml:space="preserve">                 2,665</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Gastos a comprobar</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21,102</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Anticipo de percepciones</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10,000</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Deudores Diversos-Telefonía</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36,636</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Deudores diversos seguro gastos médicos</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bCs/>
                <w:color w:val="000000"/>
                <w:lang w:eastAsia="es-MX"/>
              </w:rPr>
              <w:t>2,777</w:t>
            </w:r>
          </w:p>
        </w:tc>
      </w:tr>
      <w:tr w:rsidR="00D05B9E" w:rsidRPr="00D05B9E" w:rsidTr="00EB03DE">
        <w:trPr>
          <w:trHeight w:val="255"/>
        </w:trPr>
        <w:tc>
          <w:tcPr>
            <w:tcW w:w="281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b/>
                <w:bCs/>
                <w:color w:val="000000"/>
                <w:lang w:eastAsia="es-MX"/>
              </w:rPr>
              <w:t>Suma</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center"/>
              <w:rPr>
                <w:rFonts w:ascii="Trebuchet MS" w:hAnsi="Trebuchet MS"/>
                <w:color w:val="000000"/>
                <w:lang w:eastAsia="es-MX"/>
              </w:rPr>
            </w:pPr>
            <w:r w:rsidRPr="00D05B9E">
              <w:rPr>
                <w:rFonts w:ascii="Trebuchet MS" w:hAnsi="Trebuchet MS"/>
                <w:b/>
                <w:bCs/>
                <w:color w:val="000000"/>
                <w:lang w:eastAsia="es-MX"/>
              </w:rPr>
              <w:t xml:space="preserve">            92,580</w:t>
            </w:r>
          </w:p>
        </w:tc>
      </w:tr>
    </w:tbl>
    <w:p w:rsidR="00D05B9E" w:rsidRPr="00D05B9E" w:rsidRDefault="00D05B9E" w:rsidP="00D05B9E">
      <w:pPr>
        <w:spacing w:after="0" w:line="240" w:lineRule="auto"/>
      </w:pPr>
    </w:p>
    <w:p w:rsidR="00D05B9E" w:rsidRPr="00D05B9E" w:rsidRDefault="00D05B9E" w:rsidP="00D05B9E">
      <w:pPr>
        <w:spacing w:after="0" w:line="240" w:lineRule="auto"/>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3) DEPÓSITOS EN GARANTÍA AL CIERRE DEL CUARTO TRIMESTRE 2022:</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Existen depósitos por un importe de $ 152,845 (ciento cincuenta y dos mil ochocientos cuarenta y cinco pesos).</w:t>
      </w:r>
    </w:p>
    <w:p w:rsidR="00D05B9E" w:rsidRPr="00D05B9E" w:rsidRDefault="00D05B9E" w:rsidP="00D05B9E">
      <w:pPr>
        <w:spacing w:after="0" w:line="240" w:lineRule="auto"/>
        <w:jc w:val="both"/>
        <w:rPr>
          <w:rFonts w:ascii="Trebuchet MS" w:hAnsi="Trebuchet MS"/>
          <w:sz w:val="24"/>
          <w:szCs w:val="24"/>
        </w:rPr>
      </w:pPr>
    </w:p>
    <w:tbl>
      <w:tblPr>
        <w:tblW w:w="4600" w:type="dxa"/>
        <w:tblInd w:w="2387" w:type="dxa"/>
        <w:tblCellMar>
          <w:left w:w="70" w:type="dxa"/>
          <w:right w:w="70" w:type="dxa"/>
        </w:tblCellMar>
        <w:tblLook w:val="04A0" w:firstRow="1" w:lastRow="0" w:firstColumn="1" w:lastColumn="0" w:noHBand="0" w:noVBand="1"/>
      </w:tblPr>
      <w:tblGrid>
        <w:gridCol w:w="2760"/>
        <w:gridCol w:w="1840"/>
      </w:tblGrid>
      <w:tr w:rsidR="00D05B9E" w:rsidRPr="00D05B9E" w:rsidTr="00EB03DE">
        <w:trPr>
          <w:trHeight w:val="255"/>
        </w:trPr>
        <w:tc>
          <w:tcPr>
            <w:tcW w:w="2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DEPÓSITOS</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IMPORTE</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Comisión Federal de Electricidad</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117,865 </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lang w:eastAsia="es-MX"/>
              </w:rPr>
            </w:pPr>
            <w:r w:rsidRPr="00D05B9E">
              <w:rPr>
                <w:rFonts w:ascii="Trebuchet MS" w:hAnsi="Trebuchet MS"/>
                <w:bCs/>
                <w:color w:val="000000"/>
                <w:lang w:eastAsia="es-MX"/>
              </w:rPr>
              <w:t>Rogelio Héctor García   Albarrán</w:t>
            </w:r>
          </w:p>
        </w:tc>
        <w:tc>
          <w:tcPr>
            <w:tcW w:w="1840"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34,980</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b/>
                <w:bCs/>
                <w:color w:val="000000"/>
                <w:lang w:eastAsia="es-MX"/>
              </w:rPr>
            </w:pPr>
            <w:r w:rsidRPr="00D05B9E">
              <w:rPr>
                <w:rFonts w:ascii="Trebuchet MS" w:hAnsi="Trebuchet MS"/>
                <w:b/>
                <w:bCs/>
                <w:color w:val="000000"/>
                <w:lang w:eastAsia="es-MX"/>
              </w:rPr>
              <w:t>Suma</w:t>
            </w:r>
          </w:p>
        </w:tc>
        <w:tc>
          <w:tcPr>
            <w:tcW w:w="1840" w:type="dxa"/>
            <w:tcBorders>
              <w:top w:val="nil"/>
              <w:left w:val="nil"/>
              <w:bottom w:val="single" w:sz="4" w:space="0" w:color="auto"/>
              <w:right w:val="single" w:sz="4" w:space="0" w:color="auto"/>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b/>
                <w:color w:val="000000"/>
                <w:lang w:eastAsia="es-MX"/>
              </w:rPr>
            </w:pPr>
            <w:r w:rsidRPr="00D05B9E">
              <w:rPr>
                <w:rFonts w:ascii="Trebuchet MS" w:hAnsi="Trebuchet MS"/>
                <w:b/>
                <w:color w:val="000000"/>
                <w:lang w:eastAsia="es-MX"/>
              </w:rPr>
              <w:t xml:space="preserve">152,845 </w:t>
            </w:r>
          </w:p>
        </w:tc>
      </w:tr>
    </w:tbl>
    <w:p w:rsidR="00D05B9E" w:rsidRDefault="00D05B9E" w:rsidP="00D05B9E">
      <w:pPr>
        <w:spacing w:after="0" w:line="240" w:lineRule="auto"/>
      </w:pPr>
    </w:p>
    <w:p w:rsidR="00D05B9E" w:rsidRPr="00D05B9E" w:rsidRDefault="00D05B9E" w:rsidP="00D05B9E">
      <w:pPr>
        <w:spacing w:after="0" w:line="240" w:lineRule="auto"/>
      </w:pPr>
    </w:p>
    <w:p w:rsidR="00D05B9E" w:rsidRPr="00D05B9E" w:rsidRDefault="00D05B9E" w:rsidP="00D05B9E">
      <w:pPr>
        <w:spacing w:after="0" w:line="240" w:lineRule="auto"/>
        <w:ind w:left="708" w:hanging="708"/>
        <w:rPr>
          <w:rFonts w:ascii="Trebuchet MS" w:hAnsi="Trebuchet MS"/>
          <w:sz w:val="24"/>
          <w:szCs w:val="24"/>
        </w:rPr>
      </w:pPr>
      <w:r w:rsidRPr="00D05B9E">
        <w:rPr>
          <w:rFonts w:ascii="Trebuchet MS" w:hAnsi="Trebuchet MS"/>
          <w:sz w:val="24"/>
          <w:szCs w:val="24"/>
        </w:rPr>
        <w:t xml:space="preserve">ANTICIPO A PROVEEDORES AL CIERRE DEL CUARTO TRIMESTRE 2022: </w:t>
      </w: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 xml:space="preserve">Al cierre del Cuarto Trimestre que se informa, se han devengado todos los anticipos entregados a los proveedores. </w:t>
      </w:r>
    </w:p>
    <w:p w:rsidR="00D05B9E" w:rsidRPr="00D05B9E" w:rsidRDefault="00D05B9E" w:rsidP="00D05B9E">
      <w:pPr>
        <w:spacing w:after="0" w:line="240" w:lineRule="auto"/>
        <w:rPr>
          <w:rFonts w:ascii="Trebuchet MS" w:hAnsi="Trebuchet MS"/>
          <w:sz w:val="24"/>
          <w:szCs w:val="24"/>
        </w:rPr>
      </w:pP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NOTA 4) BIENES DISPONIBLES PARA SU TRANSFORMACIÓN (sin información que revelar)</w:t>
      </w:r>
    </w:p>
    <w:p w:rsidR="00D05B9E" w:rsidRPr="00D05B9E" w:rsidRDefault="00D05B9E" w:rsidP="00D05B9E">
      <w:pPr>
        <w:spacing w:after="0" w:line="240" w:lineRule="auto"/>
        <w:rPr>
          <w:rFonts w:ascii="Trebuchet MS" w:hAnsi="Trebuchet MS"/>
          <w:sz w:val="24"/>
          <w:szCs w:val="24"/>
        </w:rPr>
      </w:pP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NOTA 5) BIENES DISPONIBLES PARA SU TRANSFORMACIÓN O CONSUMO (INVENTARIOS)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El método que se utiliza en la Depreciación de los bienes es el de Línea Recta, así mismo se considera que los bienes que se encuentran en uso se visualizan en buenas condiciones para seguir en funcionamiento.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NOTA 6) INVERSIONES FINANCIERAS *FIDEICOMISOS*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7) INVERSIONES FINANCIERAS</w:t>
      </w:r>
    </w:p>
    <w:tbl>
      <w:tblPr>
        <w:tblpPr w:leftFromText="141" w:rightFromText="141" w:vertAnchor="text" w:horzAnchor="margin" w:tblpXSpec="center" w:tblpY="1296"/>
        <w:tblW w:w="5892" w:type="dxa"/>
        <w:tblCellMar>
          <w:left w:w="70" w:type="dxa"/>
          <w:right w:w="70" w:type="dxa"/>
        </w:tblCellMar>
        <w:tblLook w:val="04A0" w:firstRow="1" w:lastRow="0" w:firstColumn="1" w:lastColumn="0" w:noHBand="0" w:noVBand="1"/>
      </w:tblPr>
      <w:tblGrid>
        <w:gridCol w:w="4430"/>
        <w:gridCol w:w="1462"/>
      </w:tblGrid>
      <w:tr w:rsidR="00D05B9E" w:rsidRPr="00D05B9E" w:rsidTr="00EB03DE">
        <w:trPr>
          <w:trHeight w:val="26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BANCO</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5B9E" w:rsidRPr="00D05B9E" w:rsidRDefault="00D05B9E" w:rsidP="00D05B9E">
            <w:pPr>
              <w:spacing w:after="0" w:line="240" w:lineRule="auto"/>
              <w:contextualSpacing/>
              <w:jc w:val="center"/>
              <w:rPr>
                <w:rFonts w:ascii="Trebuchet MS" w:hAnsi="Trebuchet MS"/>
                <w:b/>
                <w:bCs/>
                <w:color w:val="000000"/>
                <w:u w:val="single"/>
                <w:lang w:eastAsia="es-MX"/>
              </w:rPr>
            </w:pPr>
            <w:r w:rsidRPr="00D05B9E">
              <w:rPr>
                <w:rFonts w:ascii="Trebuchet MS" w:hAnsi="Trebuchet MS"/>
                <w:b/>
                <w:bCs/>
                <w:color w:val="000000"/>
                <w:u w:val="single"/>
                <w:lang w:eastAsia="es-MX"/>
              </w:rPr>
              <w:t>IMPORTE</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HSBC México, S.A.</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6436562692 J.T. 2016</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2,322,171 </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6436562700 J.O 2016</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2,053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6437796760 Pasivos</w:t>
            </w:r>
          </w:p>
        </w:tc>
        <w:tc>
          <w:tcPr>
            <w:tcW w:w="0" w:type="auto"/>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303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 6464362000 H.R</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18,745,073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Cta.6512186243 Ejecución Reforma Laboral</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349</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Cta.6508638538 TSJ2021</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1,120,751</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Cta.6536064714 TSJ2022</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2,011,354</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 xml:space="preserve">Cta.6536074722 </w:t>
            </w:r>
            <w:proofErr w:type="spellStart"/>
            <w:r w:rsidRPr="00D05B9E">
              <w:rPr>
                <w:rFonts w:ascii="Trebuchet MS" w:hAnsi="Trebuchet MS"/>
                <w:color w:val="000000"/>
                <w:lang w:eastAsia="es-MX"/>
              </w:rPr>
              <w:t>Inv</w:t>
            </w:r>
            <w:proofErr w:type="spellEnd"/>
            <w:r w:rsidRPr="00D05B9E">
              <w:rPr>
                <w:rFonts w:ascii="Trebuchet MS" w:hAnsi="Trebuchet MS"/>
                <w:color w:val="000000"/>
                <w:lang w:eastAsia="es-MX"/>
              </w:rPr>
              <w:t xml:space="preserve"> </w:t>
            </w:r>
            <w:proofErr w:type="spellStart"/>
            <w:r w:rsidRPr="00D05B9E">
              <w:rPr>
                <w:rFonts w:ascii="Trebuchet MS" w:hAnsi="Trebuchet MS"/>
                <w:color w:val="000000"/>
                <w:lang w:eastAsia="es-MX"/>
              </w:rPr>
              <w:t>Jub</w:t>
            </w:r>
            <w:proofErr w:type="spellEnd"/>
            <w:r w:rsidRPr="00D05B9E">
              <w:rPr>
                <w:rFonts w:ascii="Trebuchet MS" w:hAnsi="Trebuchet MS"/>
                <w:color w:val="000000"/>
                <w:lang w:eastAsia="es-MX"/>
              </w:rPr>
              <w:t xml:space="preserve"> y Pen 2022</w:t>
            </w:r>
          </w:p>
        </w:tc>
        <w:tc>
          <w:tcPr>
            <w:tcW w:w="0" w:type="auto"/>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1,994,323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
                <w:bCs/>
                <w:color w:val="000000"/>
                <w:lang w:eastAsia="es-MX"/>
              </w:rPr>
            </w:pPr>
            <w:r w:rsidRPr="00D05B9E">
              <w:rPr>
                <w:rFonts w:ascii="Trebuchet MS" w:hAnsi="Trebuchet MS"/>
                <w:color w:val="000000"/>
                <w:lang w:eastAsia="es-MX"/>
              </w:rPr>
              <w:t>BBVA MEXICO SA</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b/>
                <w:bCs/>
                <w:color w:val="000000"/>
                <w:lang w:eastAsia="es-MX"/>
              </w:rPr>
            </w:pP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lang w:eastAsia="es-MX"/>
              </w:rPr>
            </w:pPr>
            <w:r w:rsidRPr="00D05B9E">
              <w:rPr>
                <w:rFonts w:ascii="Trebuchet MS" w:hAnsi="Trebuchet MS"/>
                <w:bCs/>
                <w:color w:val="000000"/>
                <w:lang w:eastAsia="es-MX"/>
              </w:rPr>
              <w:t>Contrato 2056249922 Jubilados</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57,544,603</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lang w:eastAsia="es-MX"/>
              </w:rPr>
            </w:pPr>
            <w:r w:rsidRPr="00D05B9E">
              <w:rPr>
                <w:rFonts w:ascii="Trebuchet MS" w:hAnsi="Trebuchet MS"/>
                <w:bCs/>
                <w:color w:val="000000"/>
                <w:lang w:eastAsia="es-MX"/>
              </w:rPr>
              <w:lastRenderedPageBreak/>
              <w:t>Contrato 2056249825 TSJ</w:t>
            </w:r>
          </w:p>
        </w:tc>
        <w:tc>
          <w:tcPr>
            <w:tcW w:w="0" w:type="auto"/>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22,971,502</w:t>
            </w:r>
          </w:p>
        </w:tc>
      </w:tr>
      <w:tr w:rsidR="00D05B9E" w:rsidRPr="00D05B9E" w:rsidTr="00EB03DE">
        <w:trPr>
          <w:trHeight w:val="2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b/>
                <w:bCs/>
                <w:color w:val="000000"/>
                <w:lang w:eastAsia="es-MX"/>
              </w:rPr>
            </w:pPr>
            <w:r w:rsidRPr="00D05B9E">
              <w:rPr>
                <w:rFonts w:ascii="Trebuchet MS" w:hAnsi="Trebuchet MS"/>
                <w:b/>
                <w:bCs/>
                <w:color w:val="000000"/>
                <w:lang w:eastAsia="es-MX"/>
              </w:rPr>
              <w:t>Suma</w:t>
            </w:r>
          </w:p>
        </w:tc>
        <w:tc>
          <w:tcPr>
            <w:tcW w:w="0" w:type="auto"/>
            <w:tcBorders>
              <w:top w:val="nil"/>
              <w:left w:val="nil"/>
              <w:bottom w:val="single" w:sz="4" w:space="0" w:color="auto"/>
              <w:right w:val="single" w:sz="4" w:space="0" w:color="auto"/>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b/>
                <w:bCs/>
                <w:color w:val="000000"/>
                <w:lang w:eastAsia="es-MX"/>
              </w:rPr>
            </w:pPr>
            <w:r w:rsidRPr="00D05B9E">
              <w:rPr>
                <w:rFonts w:ascii="Trebuchet MS" w:hAnsi="Trebuchet MS"/>
                <w:b/>
                <w:bCs/>
                <w:color w:val="000000"/>
                <w:lang w:eastAsia="es-MX"/>
              </w:rPr>
              <w:t xml:space="preserve">106,712,482 </w:t>
            </w:r>
          </w:p>
        </w:tc>
      </w:tr>
    </w:tbl>
    <w:p w:rsid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Las inversiones de disponibilidades financieras asciende a $106’712,482 (ciento seis millones setecientos doce mil cuatrocientos ochenta y dos pesos), contratado a tasa de interés preferencial así como disponibilidad inmediata y de corto plazo; mismos que están etiquetados para hacer frente a los compromisos con los que cuenta la institución.</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I.I.III</w:t>
      </w:r>
      <w:r w:rsidRPr="00D05B9E">
        <w:rPr>
          <w:rFonts w:ascii="Trebuchet MS" w:hAnsi="Trebuchet MS"/>
          <w:sz w:val="24"/>
          <w:szCs w:val="24"/>
        </w:rPr>
        <w:tab/>
        <w:t>Bienes Muebles, Inmuebles e Intangibles</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NOTA 8) BIENES MUEBLES E INMUEBLES AL CIERRE DEL CUARTO TRIMESTRE 2022: </w:t>
      </w:r>
    </w:p>
    <w:p w:rsid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Se informa que se cuenta con inversiones en bienes como Terrenos, Edificios No Habitacionales, Mobiliario y Equipo de Administración, Equipo de Transporte así como Maquinaria, Otros Equipos y Herramientas, por un total de $ 403’301,084 (cuatrocientos tres millones trescientos un  mil ochenta y cuatro pesos).</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tbl>
      <w:tblPr>
        <w:tblW w:w="6163" w:type="dxa"/>
        <w:tblInd w:w="1604" w:type="dxa"/>
        <w:tblCellMar>
          <w:left w:w="70" w:type="dxa"/>
          <w:right w:w="70" w:type="dxa"/>
        </w:tblCellMar>
        <w:tblLook w:val="04A0" w:firstRow="1" w:lastRow="0" w:firstColumn="1" w:lastColumn="0" w:noHBand="0" w:noVBand="1"/>
      </w:tblPr>
      <w:tblGrid>
        <w:gridCol w:w="4323"/>
        <w:gridCol w:w="1840"/>
      </w:tblGrid>
      <w:tr w:rsidR="00D05B9E" w:rsidRPr="00D05B9E" w:rsidTr="00EB03DE">
        <w:trPr>
          <w:trHeight w:val="510"/>
        </w:trPr>
        <w:tc>
          <w:tcPr>
            <w:tcW w:w="4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BIENES MUEBLES E INMUEBLES E INTANGIBLES</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IMPORTE</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Terrenos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6,876,507</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Edificios no habitacionales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228,419,721 </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Mobiliario y equipo de administración</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122,831,572</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Mobiliario y equipo educacional y recreativo</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4,399,553</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Vehículos y equipo de transporte</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23,228,236</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Maquinaria, otros equipos y herramientas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9,928,017</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Software</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4,123,885</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Licencias</w:t>
            </w:r>
          </w:p>
        </w:tc>
        <w:tc>
          <w:tcPr>
            <w:tcW w:w="1840"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3,493,593</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b/>
                <w:bCs/>
                <w:color w:val="000000"/>
                <w:lang w:eastAsia="es-MX"/>
              </w:rPr>
              <w:t>Suma</w:t>
            </w:r>
          </w:p>
        </w:tc>
        <w:tc>
          <w:tcPr>
            <w:tcW w:w="1840" w:type="dxa"/>
            <w:tcBorders>
              <w:top w:val="nil"/>
              <w:left w:val="nil"/>
              <w:bottom w:val="single" w:sz="4" w:space="0" w:color="auto"/>
              <w:right w:val="single" w:sz="4" w:space="0" w:color="auto"/>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b/>
                <w:color w:val="000000"/>
                <w:lang w:eastAsia="es-MX"/>
              </w:rPr>
              <w:t xml:space="preserve">403,301,084 </w:t>
            </w: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En cumplimiento a la normatividad aplicable y las reglas específicas de registro y valoración del patrimonio, las partidas de Bienes Inmuebles, Bienes Muebles y Equipo de Cómputo y Tecnologías de la Información así como Equipo de Transporte e Intangibles, presentan Cifras Conciliadas, a su valor histórico así como su depreciación acumulada, lo montos acumulados de dicha depreciación se resume de la siguiente manera: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tbl>
      <w:tblPr>
        <w:tblW w:w="5504" w:type="dxa"/>
        <w:tblInd w:w="1362" w:type="dxa"/>
        <w:tblCellMar>
          <w:left w:w="70" w:type="dxa"/>
          <w:right w:w="70" w:type="dxa"/>
        </w:tblCellMar>
        <w:tblLook w:val="04A0" w:firstRow="1" w:lastRow="0" w:firstColumn="1" w:lastColumn="0" w:noHBand="0" w:noVBand="1"/>
      </w:tblPr>
      <w:tblGrid>
        <w:gridCol w:w="4222"/>
        <w:gridCol w:w="1282"/>
      </w:tblGrid>
      <w:tr w:rsidR="00D05B9E" w:rsidRPr="00D05B9E" w:rsidTr="00EB03DE">
        <w:trPr>
          <w:trHeight w:val="475"/>
        </w:trPr>
        <w:tc>
          <w:tcPr>
            <w:tcW w:w="4222" w:type="dxa"/>
            <w:tcBorders>
              <w:top w:val="single" w:sz="8" w:space="0" w:color="auto"/>
              <w:left w:val="single" w:sz="8" w:space="0" w:color="auto"/>
              <w:bottom w:val="single" w:sz="8" w:space="0" w:color="auto"/>
              <w:right w:val="nil"/>
            </w:tcBorders>
            <w:shd w:val="clear" w:color="auto" w:fill="BFBFBF" w:themeFill="background1" w:themeFillShade="BF"/>
            <w:vAlign w:val="center"/>
            <w:hideMark/>
          </w:tcPr>
          <w:p w:rsidR="00D05B9E" w:rsidRPr="00D05B9E" w:rsidRDefault="00D05B9E" w:rsidP="00D05B9E">
            <w:pPr>
              <w:spacing w:after="0" w:line="240" w:lineRule="auto"/>
              <w:jc w:val="center"/>
              <w:rPr>
                <w:rFonts w:ascii="Trebuchet MS" w:hAnsi="Trebuchet MS" w:cs="Tahoma"/>
                <w:b/>
                <w:bCs/>
                <w:i/>
                <w:iCs/>
                <w:color w:val="000000"/>
                <w:sz w:val="10"/>
                <w:szCs w:val="10"/>
                <w:lang w:eastAsia="es-MX"/>
              </w:rPr>
            </w:pPr>
            <w:r w:rsidRPr="00D05B9E">
              <w:rPr>
                <w:rFonts w:ascii="Trebuchet MS" w:hAnsi="Trebuchet MS" w:cs="Tahoma"/>
                <w:b/>
                <w:bCs/>
                <w:i/>
                <w:iCs/>
                <w:color w:val="000000"/>
                <w:sz w:val="10"/>
                <w:szCs w:val="10"/>
                <w:lang w:eastAsia="es-MX"/>
              </w:rPr>
              <w:lastRenderedPageBreak/>
              <w:t>CONCEPTO</w:t>
            </w:r>
          </w:p>
        </w:tc>
        <w:tc>
          <w:tcPr>
            <w:tcW w:w="128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D05B9E" w:rsidRPr="00D05B9E" w:rsidRDefault="00D05B9E" w:rsidP="00D05B9E">
            <w:pPr>
              <w:spacing w:after="0" w:line="240" w:lineRule="auto"/>
              <w:jc w:val="center"/>
              <w:rPr>
                <w:rFonts w:ascii="Trebuchet MS" w:hAnsi="Trebuchet MS" w:cs="Tahoma"/>
                <w:b/>
                <w:bCs/>
                <w:i/>
                <w:iCs/>
                <w:color w:val="000000"/>
                <w:sz w:val="10"/>
                <w:szCs w:val="10"/>
                <w:lang w:eastAsia="es-MX"/>
              </w:rPr>
            </w:pPr>
            <w:r w:rsidRPr="00D05B9E">
              <w:rPr>
                <w:rFonts w:ascii="Trebuchet MS" w:hAnsi="Trebuchet MS" w:cs="Tahoma"/>
                <w:b/>
                <w:bCs/>
                <w:i/>
                <w:iCs/>
                <w:color w:val="000000"/>
                <w:sz w:val="10"/>
                <w:szCs w:val="10"/>
                <w:lang w:eastAsia="es-MX"/>
              </w:rPr>
              <w:t>DEPRECIACIÓN ACUMULADA</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edificios no habitacional</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59,381,326</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muebles de oficina y estantería</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rPr>
                <w:rFonts w:ascii="Trebuchet MS" w:hAnsi="Trebuchet MS"/>
                <w:color w:val="000000"/>
                <w:sz w:val="14"/>
                <w:szCs w:val="10"/>
              </w:rPr>
            </w:pPr>
            <w:r w:rsidRPr="00D05B9E">
              <w:rPr>
                <w:rFonts w:ascii="Trebuchet MS" w:hAnsi="Trebuchet MS"/>
                <w:color w:val="000000"/>
                <w:sz w:val="14"/>
                <w:szCs w:val="10"/>
              </w:rPr>
              <w:t xml:space="preserve">            2,039,324</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otros mobiliarios y equipos de administración</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1,091,855</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equipo de comunicación y telecomunicación</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544,806</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equipo de cómputo y tecnologías de la información</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43,649,206</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equipos y aparatos audiovisuales</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2,098,746</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cámaras fotográficas y de video</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1,379,482</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otro mobiliario educacional y recreativo</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4,659</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equipo de transporte</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16,365,819</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sistemas de aire acondicionado, calefacción y de refrigeración industrial y comercial</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60,048</w:t>
            </w:r>
          </w:p>
        </w:tc>
      </w:tr>
      <w:tr w:rsidR="00D05B9E" w:rsidRPr="00D05B9E" w:rsidTr="00EB03DE">
        <w:trPr>
          <w:trHeight w:val="227"/>
        </w:trPr>
        <w:tc>
          <w:tcPr>
            <w:tcW w:w="4222" w:type="dxa"/>
            <w:tcBorders>
              <w:top w:val="nil"/>
              <w:left w:val="single" w:sz="8" w:space="0" w:color="auto"/>
              <w:bottom w:val="single" w:sz="4"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herramientas y maquinarias - herramientas</w:t>
            </w:r>
          </w:p>
        </w:tc>
        <w:tc>
          <w:tcPr>
            <w:tcW w:w="1282" w:type="dxa"/>
            <w:tcBorders>
              <w:top w:val="nil"/>
              <w:left w:val="nil"/>
              <w:bottom w:val="single" w:sz="4"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5,449</w:t>
            </w:r>
          </w:p>
        </w:tc>
      </w:tr>
      <w:tr w:rsidR="00D05B9E" w:rsidRPr="00D05B9E" w:rsidTr="00EB03DE">
        <w:trPr>
          <w:trHeight w:val="227"/>
        </w:trPr>
        <w:tc>
          <w:tcPr>
            <w:tcW w:w="4222" w:type="dxa"/>
            <w:tcBorders>
              <w:top w:val="nil"/>
              <w:left w:val="single" w:sz="8" w:space="0" w:color="auto"/>
              <w:bottom w:val="single" w:sz="8" w:space="0" w:color="auto"/>
              <w:right w:val="single" w:sz="4"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0"/>
                <w:lang w:eastAsia="es-MX"/>
              </w:rPr>
            </w:pPr>
            <w:r w:rsidRPr="00D05B9E">
              <w:rPr>
                <w:rFonts w:ascii="Trebuchet MS" w:hAnsi="Trebuchet MS" w:cs="Tahoma"/>
                <w:color w:val="000000"/>
                <w:sz w:val="12"/>
                <w:szCs w:val="10"/>
                <w:lang w:eastAsia="es-MX"/>
              </w:rPr>
              <w:t>Depreciación acumulada de otros equipos</w:t>
            </w:r>
          </w:p>
        </w:tc>
        <w:tc>
          <w:tcPr>
            <w:tcW w:w="1282" w:type="dxa"/>
            <w:tcBorders>
              <w:top w:val="nil"/>
              <w:left w:val="nil"/>
              <w:bottom w:val="single" w:sz="8" w:space="0" w:color="auto"/>
              <w:right w:val="single" w:sz="8" w:space="0" w:color="auto"/>
            </w:tcBorders>
            <w:shd w:val="clear" w:color="000000" w:fill="FFFFFF"/>
            <w:noWrap/>
            <w:vAlign w:val="center"/>
          </w:tcPr>
          <w:p w:rsidR="00D05B9E" w:rsidRPr="00D05B9E" w:rsidRDefault="00D05B9E" w:rsidP="00D05B9E">
            <w:pPr>
              <w:spacing w:after="0" w:line="240" w:lineRule="auto"/>
              <w:jc w:val="right"/>
              <w:rPr>
                <w:rFonts w:ascii="Trebuchet MS" w:hAnsi="Trebuchet MS"/>
                <w:color w:val="000000"/>
                <w:sz w:val="14"/>
                <w:szCs w:val="10"/>
              </w:rPr>
            </w:pPr>
            <w:r w:rsidRPr="00D05B9E">
              <w:rPr>
                <w:rFonts w:ascii="Trebuchet MS" w:hAnsi="Trebuchet MS"/>
                <w:color w:val="000000"/>
                <w:sz w:val="14"/>
                <w:szCs w:val="10"/>
              </w:rPr>
              <w:t>29,592</w:t>
            </w: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Método de depreciación en línea recta.</w:t>
      </w:r>
    </w:p>
    <w:p w:rsidR="00D05B9E" w:rsidRPr="00D05B9E" w:rsidRDefault="00D05B9E" w:rsidP="00D05B9E">
      <w:pPr>
        <w:spacing w:after="0" w:line="240" w:lineRule="auto"/>
        <w:jc w:val="both"/>
        <w:rPr>
          <w:rFonts w:ascii="Trebuchet MS" w:hAnsi="Trebuchet MS"/>
          <w:sz w:val="24"/>
          <w:szCs w:val="24"/>
        </w:rPr>
      </w:pPr>
    </w:p>
    <w:tbl>
      <w:tblPr>
        <w:tblW w:w="4800" w:type="dxa"/>
        <w:tblInd w:w="1452" w:type="dxa"/>
        <w:tblCellMar>
          <w:left w:w="70" w:type="dxa"/>
          <w:right w:w="70" w:type="dxa"/>
        </w:tblCellMar>
        <w:tblLook w:val="04A0" w:firstRow="1" w:lastRow="0" w:firstColumn="1" w:lastColumn="0" w:noHBand="0" w:noVBand="1"/>
      </w:tblPr>
      <w:tblGrid>
        <w:gridCol w:w="3713"/>
        <w:gridCol w:w="1087"/>
      </w:tblGrid>
      <w:tr w:rsidR="00D05B9E" w:rsidRPr="00D05B9E" w:rsidTr="00EB03DE">
        <w:trPr>
          <w:trHeight w:val="375"/>
        </w:trPr>
        <w:tc>
          <w:tcPr>
            <w:tcW w:w="3713" w:type="dxa"/>
            <w:tcBorders>
              <w:top w:val="single" w:sz="8" w:space="0" w:color="auto"/>
              <w:left w:val="single" w:sz="8" w:space="0" w:color="auto"/>
              <w:bottom w:val="single" w:sz="8" w:space="0" w:color="auto"/>
              <w:right w:val="nil"/>
            </w:tcBorders>
            <w:shd w:val="clear" w:color="auto" w:fill="BFBFBF" w:themeFill="background1" w:themeFillShade="BF"/>
            <w:noWrap/>
            <w:vAlign w:val="center"/>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CONCEPTO</w:t>
            </w:r>
          </w:p>
        </w:tc>
        <w:tc>
          <w:tcPr>
            <w:tcW w:w="108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PORCENTAJE DEPRECIACIÓN</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Mobiliario y equipo de administración</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10%</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xml:space="preserve">Equipo de cómputo y tecnologías de la información </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33.33%</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Mobiliario y equipo educacional y recreativo</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20%</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Edificios no habitacionales</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3%</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Vehículos y equipo de transporte</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20%</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Maquinaria, otros equipos y herramientas</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10%</w:t>
            </w:r>
          </w:p>
        </w:tc>
      </w:tr>
      <w:tr w:rsidR="00D05B9E" w:rsidRPr="00D05B9E" w:rsidTr="00EB03DE">
        <w:trPr>
          <w:trHeight w:val="180"/>
        </w:trPr>
        <w:tc>
          <w:tcPr>
            <w:tcW w:w="3713" w:type="dxa"/>
            <w:tcBorders>
              <w:top w:val="nil"/>
              <w:left w:val="single" w:sz="8" w:space="0" w:color="auto"/>
              <w:bottom w:val="nil"/>
              <w:right w:val="nil"/>
            </w:tcBorders>
            <w:shd w:val="clear" w:color="auto" w:fill="auto"/>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Software</w:t>
            </w:r>
          </w:p>
        </w:tc>
        <w:tc>
          <w:tcPr>
            <w:tcW w:w="1087"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33.33%</w:t>
            </w:r>
          </w:p>
        </w:tc>
      </w:tr>
      <w:tr w:rsidR="00D05B9E" w:rsidRPr="00D05B9E" w:rsidTr="00EB03DE">
        <w:trPr>
          <w:trHeight w:val="195"/>
        </w:trPr>
        <w:tc>
          <w:tcPr>
            <w:tcW w:w="3713" w:type="dxa"/>
            <w:tcBorders>
              <w:top w:val="nil"/>
              <w:left w:val="single" w:sz="8" w:space="0" w:color="auto"/>
              <w:bottom w:val="single" w:sz="8"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Licencias</w:t>
            </w:r>
          </w:p>
        </w:tc>
        <w:tc>
          <w:tcPr>
            <w:tcW w:w="1087" w:type="dxa"/>
            <w:tcBorders>
              <w:top w:val="nil"/>
              <w:left w:val="nil"/>
              <w:bottom w:val="single" w:sz="8" w:space="0" w:color="auto"/>
              <w:right w:val="single" w:sz="8" w:space="0" w:color="auto"/>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33.33%</w:t>
            </w: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NOTA 9) BIENES INTANGIBLES AL CIERRE DEL CUARTO TRIMESTRE 2022: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Método de amortización en línea recta.</w:t>
      </w:r>
    </w:p>
    <w:tbl>
      <w:tblPr>
        <w:tblpPr w:leftFromText="141" w:rightFromText="141" w:vertAnchor="text" w:horzAnchor="margin" w:tblpXSpec="center" w:tblpY="147"/>
        <w:tblW w:w="7852" w:type="dxa"/>
        <w:tblCellMar>
          <w:left w:w="70" w:type="dxa"/>
          <w:right w:w="70" w:type="dxa"/>
        </w:tblCellMar>
        <w:tblLook w:val="04A0" w:firstRow="1" w:lastRow="0" w:firstColumn="1" w:lastColumn="0" w:noHBand="0" w:noVBand="1"/>
      </w:tblPr>
      <w:tblGrid>
        <w:gridCol w:w="4323"/>
        <w:gridCol w:w="1840"/>
        <w:gridCol w:w="1689"/>
      </w:tblGrid>
      <w:tr w:rsidR="00D05B9E" w:rsidRPr="00D05B9E" w:rsidTr="00EB03DE">
        <w:trPr>
          <w:trHeight w:val="510"/>
        </w:trPr>
        <w:tc>
          <w:tcPr>
            <w:tcW w:w="4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 xml:space="preserve">BIENES MUEBLES E INMUEBLES </w:t>
            </w:r>
            <w:r w:rsidRPr="00D05B9E">
              <w:rPr>
                <w:rFonts w:ascii="Trebuchet MS" w:hAnsi="Trebuchet MS"/>
                <w:b/>
                <w:bCs/>
                <w:color w:val="000000"/>
                <w:szCs w:val="16"/>
                <w:shd w:val="clear" w:color="auto" w:fill="BFBFBF" w:themeFill="background1" w:themeFillShade="BF"/>
                <w:lang w:eastAsia="es-MX"/>
              </w:rPr>
              <w:t>E</w:t>
            </w:r>
            <w:r w:rsidRPr="00D05B9E">
              <w:rPr>
                <w:rFonts w:ascii="Trebuchet MS" w:hAnsi="Trebuchet MS"/>
                <w:b/>
                <w:bCs/>
                <w:color w:val="000000"/>
                <w:szCs w:val="16"/>
                <w:lang w:eastAsia="es-MX"/>
              </w:rPr>
              <w:t xml:space="preserve"> </w:t>
            </w:r>
            <w:r w:rsidRPr="00D05B9E">
              <w:rPr>
                <w:rFonts w:ascii="Trebuchet MS" w:hAnsi="Trebuchet MS"/>
                <w:b/>
                <w:bCs/>
                <w:color w:val="000000"/>
                <w:szCs w:val="16"/>
                <w:shd w:val="clear" w:color="auto" w:fill="BFBFBF" w:themeFill="background1" w:themeFillShade="BF"/>
                <w:lang w:eastAsia="es-MX"/>
              </w:rPr>
              <w:t>INTANGIBLES</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IMPORTE</w:t>
            </w:r>
          </w:p>
        </w:tc>
        <w:tc>
          <w:tcPr>
            <w:tcW w:w="1689" w:type="dxa"/>
            <w:tcBorders>
              <w:top w:val="single" w:sz="4" w:space="0" w:color="auto"/>
              <w:left w:val="nil"/>
              <w:bottom w:val="single" w:sz="4" w:space="0" w:color="auto"/>
              <w:right w:val="single" w:sz="4" w:space="0" w:color="auto"/>
            </w:tcBorders>
            <w:shd w:val="clear" w:color="auto" w:fill="BFBFBF" w:themeFill="background1" w:themeFillShade="BF"/>
          </w:tcPr>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 xml:space="preserve">AMORTIZACIÓN </w:t>
            </w:r>
          </w:p>
          <w:p w:rsidR="00D05B9E" w:rsidRPr="00D05B9E" w:rsidRDefault="00D05B9E" w:rsidP="00D05B9E">
            <w:pPr>
              <w:spacing w:after="0" w:line="240" w:lineRule="auto"/>
              <w:contextualSpacing/>
              <w:jc w:val="center"/>
              <w:rPr>
                <w:rFonts w:ascii="Trebuchet MS" w:hAnsi="Trebuchet MS"/>
                <w:b/>
                <w:bCs/>
                <w:color w:val="000000"/>
                <w:szCs w:val="16"/>
                <w:lang w:eastAsia="es-MX"/>
              </w:rPr>
            </w:pPr>
            <w:r w:rsidRPr="00D05B9E">
              <w:rPr>
                <w:rFonts w:ascii="Trebuchet MS" w:hAnsi="Trebuchet MS"/>
                <w:b/>
                <w:bCs/>
                <w:color w:val="000000"/>
                <w:szCs w:val="16"/>
                <w:lang w:eastAsia="es-MX"/>
              </w:rPr>
              <w:t>ACUMULADA</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Software</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4,123,885</w:t>
            </w:r>
          </w:p>
        </w:tc>
        <w:tc>
          <w:tcPr>
            <w:tcW w:w="1689" w:type="dxa"/>
            <w:tcBorders>
              <w:top w:val="nil"/>
              <w:left w:val="nil"/>
              <w:bottom w:val="single" w:sz="4" w:space="0" w:color="auto"/>
              <w:right w:val="single" w:sz="4" w:space="0" w:color="auto"/>
            </w:tcBorders>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4,200,436</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Licencias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3,493,593</w:t>
            </w:r>
          </w:p>
        </w:tc>
        <w:tc>
          <w:tcPr>
            <w:tcW w:w="1689" w:type="dxa"/>
            <w:tcBorders>
              <w:top w:val="nil"/>
              <w:left w:val="nil"/>
              <w:bottom w:val="single" w:sz="4" w:space="0" w:color="auto"/>
              <w:right w:val="single" w:sz="4" w:space="0" w:color="auto"/>
            </w:tcBorders>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2,237,738</w:t>
            </w:r>
          </w:p>
        </w:tc>
      </w:tr>
      <w:tr w:rsidR="00D05B9E" w:rsidRPr="00D05B9E" w:rsidTr="00EB03DE">
        <w:trPr>
          <w:trHeight w:val="255"/>
        </w:trPr>
        <w:tc>
          <w:tcPr>
            <w:tcW w:w="4323"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b/>
                <w:bCs/>
                <w:color w:val="000000"/>
                <w:lang w:eastAsia="es-MX"/>
              </w:rPr>
              <w:t>Suma</w:t>
            </w:r>
          </w:p>
        </w:tc>
        <w:tc>
          <w:tcPr>
            <w:tcW w:w="1840" w:type="dxa"/>
            <w:tcBorders>
              <w:top w:val="nil"/>
              <w:left w:val="nil"/>
              <w:bottom w:val="single" w:sz="4" w:space="0" w:color="auto"/>
              <w:right w:val="single" w:sz="4" w:space="0" w:color="auto"/>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b/>
                <w:color w:val="000000"/>
                <w:lang w:eastAsia="es-MX"/>
              </w:rPr>
              <w:t>7,617,478</w:t>
            </w:r>
          </w:p>
        </w:tc>
        <w:tc>
          <w:tcPr>
            <w:tcW w:w="1689" w:type="dxa"/>
            <w:tcBorders>
              <w:top w:val="nil"/>
              <w:left w:val="nil"/>
              <w:bottom w:val="single" w:sz="4" w:space="0" w:color="auto"/>
              <w:right w:val="single" w:sz="4" w:space="0" w:color="auto"/>
            </w:tcBorders>
          </w:tcPr>
          <w:p w:rsidR="00D05B9E" w:rsidRPr="00D05B9E" w:rsidRDefault="00D05B9E" w:rsidP="00D05B9E">
            <w:pPr>
              <w:spacing w:after="0" w:line="240" w:lineRule="auto"/>
              <w:contextualSpacing/>
              <w:jc w:val="right"/>
              <w:rPr>
                <w:rFonts w:ascii="Trebuchet MS" w:hAnsi="Trebuchet MS"/>
                <w:b/>
                <w:color w:val="000000"/>
                <w:lang w:eastAsia="es-MX"/>
              </w:rPr>
            </w:pPr>
            <w:r w:rsidRPr="00D05B9E">
              <w:rPr>
                <w:rFonts w:ascii="Trebuchet MS" w:hAnsi="Trebuchet MS"/>
                <w:b/>
                <w:color w:val="000000"/>
                <w:lang w:eastAsia="es-MX"/>
              </w:rPr>
              <w:t>6,438,174</w:t>
            </w:r>
          </w:p>
        </w:tc>
      </w:tr>
    </w:tbl>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ESTIMACIÓN DE DETERIOROS</w:t>
      </w:r>
    </w:p>
    <w:p w:rsidR="00D05B9E" w:rsidRPr="00D05B9E" w:rsidRDefault="00D05B9E" w:rsidP="00D05B9E">
      <w:pPr>
        <w:spacing w:after="0" w:line="240" w:lineRule="auto"/>
        <w:rPr>
          <w:rFonts w:ascii="Trebuchet MS" w:hAnsi="Trebuchet MS"/>
          <w:sz w:val="24"/>
          <w:szCs w:val="24"/>
        </w:rPr>
      </w:pPr>
      <w:r w:rsidRPr="00D05B9E">
        <w:rPr>
          <w:rFonts w:ascii="Trebuchet MS" w:hAnsi="Trebuchet MS"/>
          <w:sz w:val="24"/>
          <w:szCs w:val="24"/>
        </w:rPr>
        <w:t>NOTA 10) ESTIMACIÓN DE DETERIOROS (sin información que revelar)</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OTROS ACTIVOS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11) OTROS ACTIVOS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w:t>
      </w:r>
      <w:r w:rsidRPr="00D05B9E">
        <w:rPr>
          <w:rFonts w:ascii="Trebuchet MS" w:hAnsi="Trebuchet MS"/>
          <w:sz w:val="24"/>
          <w:szCs w:val="24"/>
        </w:rPr>
        <w:tab/>
        <w:t>Pasivo</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I.II.I</w:t>
      </w:r>
      <w:r w:rsidRPr="00D05B9E">
        <w:rPr>
          <w:rFonts w:ascii="Trebuchet MS" w:hAnsi="Trebuchet MS"/>
          <w:sz w:val="24"/>
          <w:szCs w:val="24"/>
        </w:rPr>
        <w:tab/>
        <w:t xml:space="preserve">Cuentas Por Pagar A Corto Plazo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12) Las cuentas por pagar se desagregan de la siguiente manera:</w:t>
      </w:r>
    </w:p>
    <w:p w:rsidR="00D05B9E" w:rsidRPr="00D05B9E" w:rsidRDefault="00D05B9E" w:rsidP="00D05B9E">
      <w:pPr>
        <w:spacing w:after="0" w:line="240" w:lineRule="auto"/>
        <w:jc w:val="both"/>
        <w:rPr>
          <w:rFonts w:ascii="Trebuchet MS" w:hAnsi="Trebuchet MS"/>
          <w:sz w:val="24"/>
          <w:szCs w:val="24"/>
        </w:rPr>
      </w:pPr>
    </w:p>
    <w:tbl>
      <w:tblPr>
        <w:tblW w:w="8868" w:type="dxa"/>
        <w:tblInd w:w="55" w:type="dxa"/>
        <w:tblCellMar>
          <w:left w:w="70" w:type="dxa"/>
          <w:right w:w="70" w:type="dxa"/>
        </w:tblCellMar>
        <w:tblLook w:val="04A0" w:firstRow="1" w:lastRow="0" w:firstColumn="1" w:lastColumn="0" w:noHBand="0" w:noVBand="1"/>
      </w:tblPr>
      <w:tblGrid>
        <w:gridCol w:w="3721"/>
        <w:gridCol w:w="1210"/>
        <w:gridCol w:w="830"/>
        <w:gridCol w:w="672"/>
        <w:gridCol w:w="777"/>
        <w:gridCol w:w="777"/>
        <w:gridCol w:w="881"/>
      </w:tblGrid>
      <w:tr w:rsidR="00D05B9E" w:rsidRPr="00D05B9E" w:rsidTr="00EB03DE">
        <w:trPr>
          <w:trHeight w:val="387"/>
        </w:trPr>
        <w:tc>
          <w:tcPr>
            <w:tcW w:w="3721" w:type="dxa"/>
            <w:vMerge w:val="restart"/>
            <w:tcBorders>
              <w:top w:val="single" w:sz="8" w:space="0" w:color="auto"/>
              <w:left w:val="single" w:sz="8" w:space="0" w:color="auto"/>
              <w:bottom w:val="single" w:sz="8" w:space="0" w:color="000000"/>
              <w:right w:val="nil"/>
            </w:tcBorders>
            <w:shd w:val="clear" w:color="auto" w:fill="BFBFBF" w:themeFill="background1" w:themeFillShade="BF"/>
            <w:vAlign w:val="center"/>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CONCEPTO</w:t>
            </w:r>
          </w:p>
        </w:tc>
        <w:tc>
          <w:tcPr>
            <w:tcW w:w="1210" w:type="dxa"/>
            <w:vMerge w:val="restart"/>
            <w:tcBorders>
              <w:top w:val="single" w:sz="8" w:space="0" w:color="auto"/>
              <w:left w:val="single" w:sz="8" w:space="0" w:color="auto"/>
              <w:bottom w:val="single" w:sz="8" w:space="0" w:color="000000"/>
              <w:right w:val="single" w:sz="8" w:space="0" w:color="auto"/>
            </w:tcBorders>
            <w:shd w:val="clear" w:color="auto" w:fill="BFBFBF" w:themeFill="background1" w:themeFillShade="BF"/>
            <w:noWrap/>
            <w:vAlign w:val="center"/>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 xml:space="preserve">IMPORTE </w:t>
            </w:r>
          </w:p>
        </w:tc>
        <w:tc>
          <w:tcPr>
            <w:tcW w:w="3937" w:type="dxa"/>
            <w:gridSpan w:val="5"/>
            <w:vMerge w:val="restart"/>
            <w:tcBorders>
              <w:top w:val="single" w:sz="8" w:space="0" w:color="auto"/>
              <w:left w:val="single" w:sz="8" w:space="0" w:color="auto"/>
              <w:bottom w:val="nil"/>
              <w:right w:val="single" w:sz="8" w:space="0" w:color="000000"/>
            </w:tcBorders>
            <w:shd w:val="clear" w:color="auto" w:fill="BFBFBF" w:themeFill="background1" w:themeFillShade="BF"/>
            <w:noWrap/>
            <w:vAlign w:val="center"/>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VENCIMIENTO</w:t>
            </w:r>
          </w:p>
        </w:tc>
      </w:tr>
      <w:tr w:rsidR="00D05B9E" w:rsidRPr="00D05B9E" w:rsidTr="00EB03DE">
        <w:trPr>
          <w:trHeight w:val="387"/>
        </w:trPr>
        <w:tc>
          <w:tcPr>
            <w:tcW w:w="3721" w:type="dxa"/>
            <w:vMerge/>
            <w:tcBorders>
              <w:top w:val="single" w:sz="8" w:space="0" w:color="auto"/>
              <w:left w:val="single" w:sz="8" w:space="0" w:color="auto"/>
              <w:bottom w:val="single" w:sz="8" w:space="0" w:color="000000"/>
              <w:right w:val="nil"/>
            </w:tcBorders>
            <w:vAlign w:val="center"/>
            <w:hideMark/>
          </w:tcPr>
          <w:p w:rsidR="00D05B9E" w:rsidRPr="00D05B9E" w:rsidRDefault="00D05B9E" w:rsidP="00D05B9E">
            <w:pPr>
              <w:spacing w:after="0" w:line="240" w:lineRule="auto"/>
              <w:rPr>
                <w:rFonts w:ascii="Trebuchet MS" w:hAnsi="Trebuchet MS" w:cs="Tahoma"/>
                <w:b/>
                <w:bCs/>
                <w:color w:val="000000"/>
                <w:sz w:val="14"/>
                <w:szCs w:val="14"/>
                <w:lang w:eastAsia="es-MX"/>
              </w:rPr>
            </w:pPr>
          </w:p>
        </w:tc>
        <w:tc>
          <w:tcPr>
            <w:tcW w:w="1210" w:type="dxa"/>
            <w:vMerge/>
            <w:tcBorders>
              <w:top w:val="single" w:sz="8" w:space="0" w:color="auto"/>
              <w:left w:val="single" w:sz="8" w:space="0" w:color="auto"/>
              <w:bottom w:val="single" w:sz="8" w:space="0" w:color="000000"/>
              <w:right w:val="single" w:sz="8" w:space="0" w:color="auto"/>
            </w:tcBorders>
            <w:vAlign w:val="center"/>
            <w:hideMark/>
          </w:tcPr>
          <w:p w:rsidR="00D05B9E" w:rsidRPr="00D05B9E" w:rsidRDefault="00D05B9E" w:rsidP="00D05B9E">
            <w:pPr>
              <w:spacing w:after="0" w:line="240" w:lineRule="auto"/>
              <w:rPr>
                <w:rFonts w:ascii="Trebuchet MS" w:hAnsi="Trebuchet MS" w:cs="Tahoma"/>
                <w:b/>
                <w:bCs/>
                <w:color w:val="000000"/>
                <w:sz w:val="14"/>
                <w:szCs w:val="14"/>
                <w:lang w:eastAsia="es-MX"/>
              </w:rPr>
            </w:pPr>
          </w:p>
        </w:tc>
        <w:tc>
          <w:tcPr>
            <w:tcW w:w="3937" w:type="dxa"/>
            <w:gridSpan w:val="5"/>
            <w:vMerge/>
            <w:tcBorders>
              <w:top w:val="single" w:sz="8" w:space="0" w:color="auto"/>
              <w:left w:val="single" w:sz="8" w:space="0" w:color="auto"/>
              <w:bottom w:val="single" w:sz="8" w:space="0" w:color="auto"/>
              <w:right w:val="single" w:sz="8" w:space="0" w:color="000000"/>
            </w:tcBorders>
            <w:vAlign w:val="center"/>
            <w:hideMark/>
          </w:tcPr>
          <w:p w:rsidR="00D05B9E" w:rsidRPr="00D05B9E" w:rsidRDefault="00D05B9E" w:rsidP="00D05B9E">
            <w:pPr>
              <w:spacing w:after="0" w:line="240" w:lineRule="auto"/>
              <w:rPr>
                <w:rFonts w:ascii="Trebuchet MS" w:hAnsi="Trebuchet MS" w:cs="Tahoma"/>
                <w:b/>
                <w:bCs/>
                <w:color w:val="000000"/>
                <w:sz w:val="14"/>
                <w:szCs w:val="14"/>
                <w:lang w:eastAsia="es-MX"/>
              </w:rPr>
            </w:pPr>
          </w:p>
        </w:tc>
      </w:tr>
      <w:tr w:rsidR="00D05B9E" w:rsidRPr="00D05B9E" w:rsidTr="00EB03DE">
        <w:trPr>
          <w:trHeight w:val="165"/>
        </w:trPr>
        <w:tc>
          <w:tcPr>
            <w:tcW w:w="3721" w:type="dxa"/>
            <w:vMerge/>
            <w:tcBorders>
              <w:top w:val="single" w:sz="8" w:space="0" w:color="auto"/>
              <w:left w:val="single" w:sz="8" w:space="0" w:color="auto"/>
              <w:bottom w:val="single" w:sz="8" w:space="0" w:color="000000"/>
              <w:right w:val="nil"/>
            </w:tcBorders>
            <w:shd w:val="clear" w:color="auto" w:fill="BFBFBF" w:themeFill="background1" w:themeFillShade="BF"/>
            <w:vAlign w:val="center"/>
            <w:hideMark/>
          </w:tcPr>
          <w:p w:rsidR="00D05B9E" w:rsidRPr="00D05B9E" w:rsidRDefault="00D05B9E" w:rsidP="00D05B9E">
            <w:pPr>
              <w:spacing w:after="0" w:line="240" w:lineRule="auto"/>
              <w:rPr>
                <w:rFonts w:ascii="Trebuchet MS" w:hAnsi="Trebuchet MS" w:cs="Tahoma"/>
                <w:b/>
                <w:bCs/>
                <w:color w:val="000000"/>
                <w:sz w:val="14"/>
                <w:szCs w:val="14"/>
                <w:lang w:eastAsia="es-MX"/>
              </w:rPr>
            </w:pPr>
          </w:p>
        </w:tc>
        <w:tc>
          <w:tcPr>
            <w:tcW w:w="1210" w:type="dxa"/>
            <w:vMerge/>
            <w:tcBorders>
              <w:top w:val="single" w:sz="8" w:space="0" w:color="auto"/>
              <w:left w:val="single" w:sz="8" w:space="0" w:color="auto"/>
              <w:bottom w:val="single" w:sz="8" w:space="0" w:color="000000"/>
              <w:right w:val="single" w:sz="8" w:space="0" w:color="auto"/>
            </w:tcBorders>
            <w:shd w:val="clear" w:color="auto" w:fill="BFBFBF" w:themeFill="background1" w:themeFillShade="BF"/>
            <w:vAlign w:val="center"/>
            <w:hideMark/>
          </w:tcPr>
          <w:p w:rsidR="00D05B9E" w:rsidRPr="00D05B9E" w:rsidRDefault="00D05B9E" w:rsidP="00D05B9E">
            <w:pPr>
              <w:spacing w:after="0" w:line="240" w:lineRule="auto"/>
              <w:rPr>
                <w:rFonts w:ascii="Trebuchet MS" w:hAnsi="Trebuchet MS" w:cs="Tahoma"/>
                <w:b/>
                <w:bCs/>
                <w:color w:val="000000"/>
                <w:sz w:val="14"/>
                <w:szCs w:val="14"/>
                <w:lang w:eastAsia="es-MX"/>
              </w:rPr>
            </w:pPr>
          </w:p>
        </w:tc>
        <w:tc>
          <w:tcPr>
            <w:tcW w:w="83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&gt; 90 DIAS</w:t>
            </w:r>
          </w:p>
        </w:tc>
        <w:tc>
          <w:tcPr>
            <w:tcW w:w="672"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90 DIAS</w:t>
            </w:r>
          </w:p>
        </w:tc>
        <w:tc>
          <w:tcPr>
            <w:tcW w:w="77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180 DIAS</w:t>
            </w:r>
          </w:p>
        </w:tc>
        <w:tc>
          <w:tcPr>
            <w:tcW w:w="777"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 xml:space="preserve">365 DIAS </w:t>
            </w:r>
          </w:p>
        </w:tc>
        <w:tc>
          <w:tcPr>
            <w:tcW w:w="881"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&gt;365 DIAS</w:t>
            </w:r>
          </w:p>
        </w:tc>
      </w:tr>
      <w:tr w:rsidR="00D05B9E" w:rsidRPr="00D05B9E" w:rsidTr="00EB03DE">
        <w:trPr>
          <w:trHeight w:val="192"/>
        </w:trPr>
        <w:tc>
          <w:tcPr>
            <w:tcW w:w="3721" w:type="dxa"/>
            <w:tcBorders>
              <w:top w:val="single" w:sz="8"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SERVICIOS PERSONALES POR PAGAR A CORTO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$ 10’377,517</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PROVEEDORES POR PAGAR A CORTO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381,791</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TRANSFERENCIAS OTORGADAS POR PAGAR A CORTO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6’224,218</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65"/>
        </w:trPr>
        <w:tc>
          <w:tcPr>
            <w:tcW w:w="3721" w:type="dxa"/>
            <w:tcBorders>
              <w:top w:val="single" w:sz="4"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RETENCIONES Y CONTRIBUCIONES POR PAGAR A CORTO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$ 41’174,494</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X</w:t>
            </w: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65"/>
        </w:trPr>
        <w:tc>
          <w:tcPr>
            <w:tcW w:w="3721" w:type="dxa"/>
            <w:tcBorders>
              <w:top w:val="single" w:sz="4"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OTRAS CUENTAS POR PAGAR A CORTO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$ 60’000,000</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X</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84"/>
        </w:trPr>
        <w:tc>
          <w:tcPr>
            <w:tcW w:w="3721" w:type="dxa"/>
            <w:tcBorders>
              <w:top w:val="single" w:sz="4" w:space="0" w:color="auto"/>
              <w:left w:val="single" w:sz="8" w:space="0" w:color="auto"/>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OTRAS PROVISIONES A LARGO PLAZO</w:t>
            </w:r>
          </w:p>
        </w:tc>
        <w:tc>
          <w:tcPr>
            <w:tcW w:w="121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$ 18’745,073</w:t>
            </w:r>
          </w:p>
        </w:tc>
        <w:tc>
          <w:tcPr>
            <w:tcW w:w="830"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jc w:val="center"/>
              <w:rPr>
                <w:rFonts w:ascii="Trebuchet MS" w:hAnsi="Trebuchet MS" w:cs="Tahoma"/>
                <w:color w:val="000000"/>
                <w:sz w:val="14"/>
                <w:szCs w:val="14"/>
                <w:lang w:eastAsia="es-MX"/>
              </w:rPr>
            </w:pPr>
          </w:p>
        </w:tc>
        <w:tc>
          <w:tcPr>
            <w:tcW w:w="672"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777" w:type="dxa"/>
            <w:tcBorders>
              <w:top w:val="nil"/>
              <w:left w:val="nil"/>
              <w:bottom w:val="single" w:sz="4"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881" w:type="dxa"/>
            <w:tcBorders>
              <w:top w:val="nil"/>
              <w:left w:val="nil"/>
              <w:bottom w:val="single" w:sz="4"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X</w:t>
            </w: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REMUNERACIONES POR PAGAR A CORTO PLAZO: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Contempla erogaciones relativas a servicios personales que se integran principalmente por la provisión de Remuneraciones por pagar al cierre </w:t>
      </w:r>
      <w:r w:rsidRPr="00D05B9E">
        <w:rPr>
          <w:rFonts w:ascii="Trebuchet MS" w:hAnsi="Trebuchet MS"/>
          <w:spacing w:val="-4"/>
          <w:sz w:val="24"/>
          <w:szCs w:val="24"/>
        </w:rPr>
        <w:t>del Cuarto Trimestre 2022</w:t>
      </w:r>
      <w:r w:rsidRPr="00D05B9E">
        <w:rPr>
          <w:rFonts w:ascii="Trebuchet MS" w:hAnsi="Trebuchet MS"/>
          <w:sz w:val="24"/>
          <w:szCs w:val="24"/>
        </w:rPr>
        <w:t>, cuyo saldo es por la cantidad de $10,377,517 (diez millones trescientos setenta y siete mil quinientos diecisiete pesos).</w:t>
      </w:r>
      <w:r w:rsidRPr="00D05B9E">
        <w:rPr>
          <w:rFonts w:ascii="Soberana Sans Light" w:hAnsi="Soberana Sans Light"/>
          <w:noProof/>
          <w:lang w:eastAsia="es-MX"/>
        </w:rPr>
        <w:t xml:space="preserve">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tbl>
      <w:tblPr>
        <w:tblW w:w="5013" w:type="dxa"/>
        <w:tblInd w:w="2208" w:type="dxa"/>
        <w:tblCellMar>
          <w:left w:w="70" w:type="dxa"/>
          <w:right w:w="70" w:type="dxa"/>
        </w:tblCellMar>
        <w:tblLook w:val="04A0" w:firstRow="1" w:lastRow="0" w:firstColumn="1" w:lastColumn="0" w:noHBand="0" w:noVBand="1"/>
      </w:tblPr>
      <w:tblGrid>
        <w:gridCol w:w="3152"/>
        <w:gridCol w:w="1861"/>
      </w:tblGrid>
      <w:tr w:rsidR="00D05B9E" w:rsidRPr="00D05B9E" w:rsidTr="00EB03DE">
        <w:trPr>
          <w:trHeight w:val="473"/>
        </w:trPr>
        <w:tc>
          <w:tcPr>
            <w:tcW w:w="3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05B9E" w:rsidRPr="00D05B9E" w:rsidRDefault="00D05B9E" w:rsidP="00D05B9E">
            <w:pPr>
              <w:spacing w:after="0" w:line="240" w:lineRule="auto"/>
              <w:contextualSpacing/>
              <w:jc w:val="center"/>
              <w:rPr>
                <w:rFonts w:ascii="Trebuchet MS" w:hAnsi="Trebuchet MS"/>
                <w:b/>
                <w:bCs/>
                <w:color w:val="000000"/>
                <w:sz w:val="18"/>
                <w:szCs w:val="18"/>
                <w:lang w:eastAsia="es-MX"/>
              </w:rPr>
            </w:pPr>
            <w:r w:rsidRPr="00D05B9E">
              <w:rPr>
                <w:rFonts w:ascii="Trebuchet MS" w:hAnsi="Trebuchet MS"/>
                <w:b/>
                <w:bCs/>
                <w:color w:val="000000"/>
                <w:sz w:val="18"/>
                <w:szCs w:val="18"/>
                <w:lang w:eastAsia="es-MX"/>
              </w:rPr>
              <w:t>Remuneración por pagar al Personal de carácter permanente</w:t>
            </w:r>
          </w:p>
        </w:tc>
        <w:tc>
          <w:tcPr>
            <w:tcW w:w="186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sz w:val="18"/>
                <w:szCs w:val="18"/>
                <w:lang w:eastAsia="es-MX"/>
              </w:rPr>
            </w:pPr>
            <w:r w:rsidRPr="00D05B9E">
              <w:rPr>
                <w:rFonts w:ascii="Trebuchet MS" w:hAnsi="Trebuchet MS"/>
                <w:b/>
                <w:bCs/>
                <w:color w:val="000000"/>
                <w:sz w:val="18"/>
                <w:szCs w:val="18"/>
                <w:lang w:eastAsia="es-MX"/>
              </w:rPr>
              <w:t>Importe</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color w:val="000000"/>
                <w:sz w:val="18"/>
                <w:szCs w:val="18"/>
                <w:lang w:eastAsia="es-MX"/>
              </w:rPr>
              <w:t>Remuneraciones por pagar al personal  de carácter</w:t>
            </w:r>
          </w:p>
        </w:tc>
        <w:tc>
          <w:tcPr>
            <w:tcW w:w="1861"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color w:val="000000"/>
                <w:sz w:val="18"/>
                <w:szCs w:val="18"/>
                <w:lang w:eastAsia="es-MX"/>
              </w:rPr>
              <w:t>197,873</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color w:val="000000"/>
                <w:sz w:val="18"/>
                <w:szCs w:val="18"/>
                <w:lang w:eastAsia="es-MX"/>
              </w:rPr>
              <w:t>Sueldo base al personal permanente</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color w:val="000000"/>
                <w:sz w:val="18"/>
                <w:szCs w:val="18"/>
                <w:lang w:eastAsia="es-MX"/>
              </w:rPr>
              <w:t>888,389</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color w:val="000000"/>
                <w:sz w:val="18"/>
                <w:szCs w:val="18"/>
                <w:lang w:eastAsia="es-MX"/>
              </w:rPr>
              <w:t>Remuneraciones adicionales y especiales por pagar a corto plazo</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color w:val="000000"/>
                <w:sz w:val="18"/>
                <w:szCs w:val="18"/>
                <w:lang w:eastAsia="es-MX"/>
              </w:rPr>
              <w:t>1,783,120</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b/>
                <w:color w:val="000000"/>
                <w:sz w:val="18"/>
                <w:szCs w:val="18"/>
                <w:lang w:eastAsia="es-MX"/>
              </w:rPr>
              <w:t>Seguridad Social y Seguros por pagar a corto plazo</w:t>
            </w:r>
            <w:r w:rsidRPr="00D05B9E">
              <w:rPr>
                <w:rFonts w:ascii="Trebuchet MS" w:hAnsi="Trebuchet MS"/>
                <w:color w:val="000000"/>
                <w:sz w:val="18"/>
                <w:szCs w:val="18"/>
                <w:lang w:eastAsia="es-MX"/>
              </w:rPr>
              <w:t> </w:t>
            </w:r>
          </w:p>
        </w:tc>
        <w:tc>
          <w:tcPr>
            <w:tcW w:w="1861"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color w:val="000000"/>
                <w:sz w:val="18"/>
                <w:szCs w:val="18"/>
                <w:lang w:eastAsia="es-MX"/>
              </w:rPr>
              <w:t>Instituto Mexicano del Seguro Social</w:t>
            </w:r>
          </w:p>
        </w:tc>
        <w:tc>
          <w:tcPr>
            <w:tcW w:w="1861"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color w:val="000000"/>
                <w:sz w:val="18"/>
                <w:szCs w:val="18"/>
                <w:lang w:eastAsia="es-MX"/>
              </w:rPr>
              <w:t>7,333,921</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b/>
                <w:bCs/>
                <w:color w:val="000000"/>
                <w:sz w:val="18"/>
                <w:szCs w:val="18"/>
                <w:lang w:eastAsia="es-MX"/>
              </w:rPr>
              <w:t xml:space="preserve">Otras prestaciones sociales y económicas por pagar </w:t>
            </w:r>
          </w:p>
        </w:tc>
        <w:tc>
          <w:tcPr>
            <w:tcW w:w="1861"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bCs/>
                <w:color w:val="000000"/>
                <w:sz w:val="18"/>
                <w:szCs w:val="18"/>
                <w:lang w:eastAsia="es-MX"/>
              </w:rPr>
            </w:pPr>
            <w:r w:rsidRPr="00D05B9E">
              <w:rPr>
                <w:rFonts w:ascii="Trebuchet MS" w:hAnsi="Trebuchet MS"/>
                <w:bCs/>
                <w:color w:val="000000"/>
                <w:sz w:val="18"/>
                <w:szCs w:val="18"/>
                <w:lang w:eastAsia="es-MX"/>
              </w:rPr>
              <w:t>Otras prestaciones sociales y económicas</w:t>
            </w:r>
          </w:p>
        </w:tc>
        <w:tc>
          <w:tcPr>
            <w:tcW w:w="1861"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color w:val="000000"/>
                <w:sz w:val="18"/>
                <w:szCs w:val="18"/>
                <w:lang w:eastAsia="es-MX"/>
              </w:rPr>
              <w:t>174,214</w:t>
            </w:r>
          </w:p>
        </w:tc>
      </w:tr>
      <w:tr w:rsidR="00D05B9E" w:rsidRPr="00D05B9E" w:rsidTr="00EB03DE">
        <w:trPr>
          <w:trHeight w:val="237"/>
        </w:trPr>
        <w:tc>
          <w:tcPr>
            <w:tcW w:w="3152"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contextualSpacing/>
              <w:rPr>
                <w:rFonts w:ascii="Trebuchet MS" w:hAnsi="Trebuchet MS"/>
                <w:color w:val="000000"/>
                <w:sz w:val="18"/>
                <w:szCs w:val="18"/>
                <w:lang w:eastAsia="es-MX"/>
              </w:rPr>
            </w:pPr>
            <w:r w:rsidRPr="00D05B9E">
              <w:rPr>
                <w:rFonts w:ascii="Trebuchet MS" w:hAnsi="Trebuchet MS"/>
                <w:b/>
                <w:bCs/>
                <w:color w:val="000000"/>
                <w:sz w:val="18"/>
                <w:szCs w:val="18"/>
                <w:lang w:eastAsia="es-MX"/>
              </w:rPr>
              <w:t>Suma</w:t>
            </w:r>
          </w:p>
        </w:tc>
        <w:tc>
          <w:tcPr>
            <w:tcW w:w="1861" w:type="dxa"/>
            <w:tcBorders>
              <w:top w:val="nil"/>
              <w:left w:val="nil"/>
              <w:bottom w:val="single" w:sz="4" w:space="0" w:color="auto"/>
              <w:right w:val="single" w:sz="4" w:space="0" w:color="auto"/>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color w:val="000000"/>
                <w:sz w:val="18"/>
                <w:szCs w:val="18"/>
                <w:lang w:eastAsia="es-MX"/>
              </w:rPr>
            </w:pPr>
            <w:r w:rsidRPr="00D05B9E">
              <w:rPr>
                <w:rFonts w:ascii="Trebuchet MS" w:hAnsi="Trebuchet MS"/>
                <w:b/>
                <w:color w:val="000000"/>
                <w:sz w:val="18"/>
                <w:szCs w:val="18"/>
                <w:lang w:eastAsia="es-MX"/>
              </w:rPr>
              <w:t>10,377,517</w:t>
            </w:r>
          </w:p>
        </w:tc>
      </w:tr>
    </w:tbl>
    <w:p w:rsidR="00D05B9E" w:rsidRPr="00D05B9E" w:rsidRDefault="00D05B9E" w:rsidP="00D05B9E">
      <w:pPr>
        <w:spacing w:after="0" w:line="240" w:lineRule="auto"/>
      </w:pPr>
    </w:p>
    <w:p w:rsidR="00D05B9E" w:rsidRPr="00D05B9E" w:rsidRDefault="00D05B9E" w:rsidP="00D05B9E">
      <w:pPr>
        <w:spacing w:after="0" w:line="240" w:lineRule="auto"/>
        <w:contextualSpacing/>
        <w:jc w:val="both"/>
        <w:rPr>
          <w:rFonts w:ascii="Trebuchet MS" w:hAnsi="Trebuchet MS"/>
          <w:sz w:val="24"/>
          <w:szCs w:val="24"/>
        </w:rPr>
      </w:pPr>
      <w:r w:rsidRPr="00D05B9E">
        <w:rPr>
          <w:rFonts w:ascii="Trebuchet MS" w:hAnsi="Trebuchet MS"/>
          <w:sz w:val="24"/>
          <w:szCs w:val="24"/>
        </w:rPr>
        <w:t xml:space="preserve">       </w:t>
      </w:r>
    </w:p>
    <w:p w:rsidR="00D05B9E" w:rsidRPr="00D05B9E" w:rsidRDefault="00D05B9E" w:rsidP="00D05B9E">
      <w:pPr>
        <w:spacing w:after="0" w:line="240" w:lineRule="auto"/>
        <w:jc w:val="both"/>
        <w:rPr>
          <w:rFonts w:ascii="Trebuchet MS" w:hAnsi="Trebuchet MS"/>
          <w:i/>
          <w:sz w:val="24"/>
          <w:szCs w:val="24"/>
        </w:rPr>
      </w:pPr>
      <w:r w:rsidRPr="00D05B9E">
        <w:rPr>
          <w:rFonts w:ascii="Trebuchet MS" w:hAnsi="Trebuchet MS"/>
          <w:sz w:val="24"/>
          <w:szCs w:val="24"/>
        </w:rPr>
        <w:t>PROVEEDORES POR PAGAR A CORTO PLAZO AL CIERRE DEL CUARTO TRIMESTRE 2022:</w:t>
      </w:r>
      <w:r w:rsidRPr="00D05B9E">
        <w:rPr>
          <w:rFonts w:ascii="Trebuchet MS" w:hAnsi="Trebuchet MS"/>
          <w:i/>
          <w:sz w:val="24"/>
          <w:szCs w:val="24"/>
        </w:rPr>
        <w:t xml:space="preserve"> </w:t>
      </w:r>
    </w:p>
    <w:p w:rsidR="00D05B9E" w:rsidRPr="00D05B9E" w:rsidRDefault="00D05B9E" w:rsidP="00D05B9E">
      <w:pPr>
        <w:spacing w:after="0" w:line="240" w:lineRule="auto"/>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 xml:space="preserve">Por un importe total de $831,791 (Ochocientos treinta y un mil setecientos noventa y un pesos), se encuentran clasificados de la siguiente manera: </w:t>
      </w:r>
    </w:p>
    <w:p w:rsidR="00D05B9E" w:rsidRPr="00D05B9E" w:rsidRDefault="00D05B9E" w:rsidP="00D05B9E">
      <w:pPr>
        <w:spacing w:after="0" w:line="240" w:lineRule="auto"/>
        <w:ind w:firstLine="288"/>
        <w:jc w:val="both"/>
      </w:pPr>
      <w:r w:rsidRPr="00D05B9E">
        <w:rPr>
          <w:rFonts w:ascii="Trebuchet MS" w:eastAsia="Times New Roman" w:hAnsi="Trebuchet MS" w:cs="Arial"/>
          <w:sz w:val="24"/>
          <w:szCs w:val="24"/>
          <w:lang w:val="es-ES" w:eastAsia="es-ES"/>
        </w:rPr>
        <w:t xml:space="preserve">                            </w:t>
      </w:r>
      <w:r w:rsidRPr="00D05B9E">
        <w:rPr>
          <w:rFonts w:ascii="Trebuchet MS" w:eastAsia="Times New Roman" w:hAnsi="Trebuchet MS" w:cs="Arial"/>
          <w:sz w:val="24"/>
          <w:szCs w:val="24"/>
          <w:lang w:val="es-ES" w:eastAsia="es-ES"/>
        </w:rPr>
        <w:fldChar w:fldCharType="begin"/>
      </w:r>
      <w:r w:rsidRPr="00D05B9E">
        <w:rPr>
          <w:rFonts w:ascii="Trebuchet MS" w:eastAsia="Times New Roman" w:hAnsi="Trebuchet MS" w:cs="Arial"/>
          <w:sz w:val="24"/>
          <w:szCs w:val="24"/>
          <w:lang w:val="es-ES" w:eastAsia="es-ES"/>
        </w:rPr>
        <w:instrText xml:space="preserve"> LINK Excel.Sheet.12 C:\\Users\\CJCTAPC0046\\Documents\\miriam\\2022\\CONCILIACIONES\\proveedoresdic.xlsx "Page1 (2)!F20C1:F45C2" \a \f 4 \h  \* MERGEFORMAT </w:instrText>
      </w:r>
      <w:r w:rsidRPr="00D05B9E">
        <w:rPr>
          <w:rFonts w:ascii="Trebuchet MS" w:eastAsia="Times New Roman" w:hAnsi="Trebuchet MS" w:cs="Arial"/>
          <w:sz w:val="24"/>
          <w:szCs w:val="24"/>
          <w:lang w:val="es-ES" w:eastAsia="es-ES"/>
        </w:rPr>
        <w:fldChar w:fldCharType="separate"/>
      </w:r>
    </w:p>
    <w:p w:rsidR="00D05B9E" w:rsidRPr="00D05B9E" w:rsidRDefault="00D05B9E" w:rsidP="00D05B9E">
      <w:pPr>
        <w:spacing w:after="0" w:line="240" w:lineRule="auto"/>
        <w:ind w:firstLine="288"/>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fldChar w:fldCharType="end"/>
      </w:r>
    </w:p>
    <w:tbl>
      <w:tblPr>
        <w:tblpPr w:leftFromText="141" w:rightFromText="141" w:vertAnchor="text" w:horzAnchor="margin" w:tblpXSpec="center" w:tblpY="-29"/>
        <w:tblOverlap w:val="never"/>
        <w:tblW w:w="5300" w:type="dxa"/>
        <w:tblCellMar>
          <w:left w:w="70" w:type="dxa"/>
          <w:right w:w="70" w:type="dxa"/>
        </w:tblCellMar>
        <w:tblLook w:val="04A0" w:firstRow="1" w:lastRow="0" w:firstColumn="1" w:lastColumn="0" w:noHBand="0" w:noVBand="1"/>
      </w:tblPr>
      <w:tblGrid>
        <w:gridCol w:w="4111"/>
        <w:gridCol w:w="1189"/>
      </w:tblGrid>
      <w:tr w:rsidR="00D05B9E" w:rsidRPr="00D05B9E" w:rsidTr="00EB03DE">
        <w:trPr>
          <w:trHeight w:val="390"/>
        </w:trPr>
        <w:tc>
          <w:tcPr>
            <w:tcW w:w="4111"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D05B9E" w:rsidRPr="00D05B9E" w:rsidRDefault="00D05B9E" w:rsidP="00D05B9E">
            <w:pPr>
              <w:jc w:val="center"/>
              <w:rPr>
                <w:rFonts w:ascii="Arial" w:eastAsia="Times New Roman" w:hAnsi="Arial" w:cs="Arial"/>
                <w:b/>
                <w:bCs/>
                <w:color w:val="000000"/>
                <w:sz w:val="18"/>
                <w:szCs w:val="18"/>
                <w:lang w:eastAsia="es-MX"/>
              </w:rPr>
            </w:pPr>
            <w:r w:rsidRPr="00D05B9E">
              <w:rPr>
                <w:rFonts w:ascii="Arial" w:eastAsia="Times New Roman" w:hAnsi="Arial" w:cs="Arial"/>
                <w:b/>
                <w:bCs/>
                <w:color w:val="000000"/>
                <w:sz w:val="18"/>
                <w:szCs w:val="18"/>
                <w:lang w:eastAsia="es-MX"/>
              </w:rPr>
              <w:t>PROVEEDOR</w:t>
            </w:r>
          </w:p>
        </w:tc>
        <w:tc>
          <w:tcPr>
            <w:tcW w:w="1189" w:type="dxa"/>
            <w:tcBorders>
              <w:top w:val="single" w:sz="4" w:space="0" w:color="auto"/>
              <w:left w:val="nil"/>
              <w:bottom w:val="single" w:sz="4" w:space="0" w:color="auto"/>
              <w:right w:val="single" w:sz="4" w:space="0" w:color="auto"/>
            </w:tcBorders>
            <w:shd w:val="clear" w:color="000000" w:fill="A6A6A6"/>
            <w:vAlign w:val="bottom"/>
            <w:hideMark/>
          </w:tcPr>
          <w:p w:rsidR="00D05B9E" w:rsidRPr="00D05B9E" w:rsidRDefault="00D05B9E" w:rsidP="00D05B9E">
            <w:pPr>
              <w:spacing w:after="0" w:line="240" w:lineRule="auto"/>
              <w:jc w:val="center"/>
              <w:rPr>
                <w:rFonts w:ascii="Arial" w:eastAsia="Times New Roman" w:hAnsi="Arial" w:cs="Arial"/>
                <w:b/>
                <w:bCs/>
                <w:color w:val="000000"/>
                <w:sz w:val="18"/>
                <w:szCs w:val="18"/>
                <w:lang w:eastAsia="es-MX"/>
              </w:rPr>
            </w:pPr>
            <w:r w:rsidRPr="00D05B9E">
              <w:rPr>
                <w:rFonts w:ascii="Arial" w:eastAsia="Times New Roman" w:hAnsi="Arial" w:cs="Arial"/>
                <w:b/>
                <w:bCs/>
                <w:color w:val="000000"/>
                <w:sz w:val="18"/>
                <w:szCs w:val="18"/>
                <w:lang w:eastAsia="es-MX"/>
              </w:rPr>
              <w:t>IMPORTE</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Desarrollo Avanzado en Servicios Integrales DASI</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$5,303</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Propimex</w:t>
            </w:r>
            <w:proofErr w:type="spellEnd"/>
            <w:r w:rsidRPr="00D05B9E">
              <w:rPr>
                <w:rFonts w:ascii="Arial" w:eastAsia="Times New Roman" w:hAnsi="Arial" w:cs="Arial"/>
                <w:color w:val="000000"/>
                <w:sz w:val="14"/>
                <w:szCs w:val="14"/>
                <w:lang w:eastAsia="es-MX"/>
              </w:rPr>
              <w:t xml:space="preserve"> S de RL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$3,689</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Gasolinera </w:t>
            </w:r>
            <w:proofErr w:type="spellStart"/>
            <w:r w:rsidRPr="00D05B9E">
              <w:rPr>
                <w:rFonts w:ascii="Arial" w:eastAsia="Times New Roman" w:hAnsi="Arial" w:cs="Arial"/>
                <w:color w:val="000000"/>
                <w:sz w:val="14"/>
                <w:szCs w:val="14"/>
                <w:lang w:eastAsia="es-MX"/>
              </w:rPr>
              <w:t>Mileniuem</w:t>
            </w:r>
            <w:proofErr w:type="spellEnd"/>
            <w:r w:rsidRPr="00D05B9E">
              <w:rPr>
                <w:rFonts w:ascii="Arial" w:eastAsia="Times New Roman" w:hAnsi="Arial" w:cs="Arial"/>
                <w:color w:val="000000"/>
                <w:sz w:val="14"/>
                <w:szCs w:val="14"/>
                <w:lang w:eastAsia="es-MX"/>
              </w:rPr>
              <w:t xml:space="preserve"> 3000 SA de CV </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$4,502</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Casala</w:t>
            </w:r>
            <w:proofErr w:type="spellEnd"/>
            <w:r w:rsidRPr="00D05B9E">
              <w:rPr>
                <w:rFonts w:ascii="Arial" w:eastAsia="Times New Roman" w:hAnsi="Arial" w:cs="Arial"/>
                <w:color w:val="000000"/>
                <w:sz w:val="14"/>
                <w:szCs w:val="14"/>
                <w:lang w:eastAsia="es-MX"/>
              </w:rPr>
              <w:t xml:space="preserve"> Combustibles y Servicios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$21,460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Sistema de Agua Potable de </w:t>
            </w:r>
            <w:proofErr w:type="spellStart"/>
            <w:r w:rsidRPr="00D05B9E">
              <w:rPr>
                <w:rFonts w:ascii="Arial" w:eastAsia="Times New Roman" w:hAnsi="Arial" w:cs="Arial"/>
                <w:color w:val="000000"/>
                <w:sz w:val="14"/>
                <w:szCs w:val="14"/>
                <w:lang w:eastAsia="es-MX"/>
              </w:rPr>
              <w:t>Tetecala</w:t>
            </w:r>
            <w:proofErr w:type="spellEnd"/>
            <w:r w:rsidRPr="00D05B9E">
              <w:rPr>
                <w:rFonts w:ascii="Arial" w:eastAsia="Times New Roman" w:hAnsi="Arial" w:cs="Arial"/>
                <w:color w:val="000000"/>
                <w:sz w:val="14"/>
                <w:szCs w:val="14"/>
                <w:lang w:eastAsia="es-MX"/>
              </w:rPr>
              <w:t xml:space="preserve"> Morelos</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$85</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Mebasys</w:t>
            </w:r>
            <w:proofErr w:type="spellEnd"/>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Sa</w:t>
            </w:r>
            <w:proofErr w:type="spellEnd"/>
            <w:r w:rsidRPr="00D05B9E">
              <w:rPr>
                <w:rFonts w:ascii="Arial" w:eastAsia="Times New Roman" w:hAnsi="Arial" w:cs="Arial"/>
                <w:color w:val="000000"/>
                <w:sz w:val="14"/>
                <w:szCs w:val="14"/>
                <w:lang w:eastAsia="es-MX"/>
              </w:rPr>
              <w:t xml:space="preserve">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$44,427</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lastRenderedPageBreak/>
              <w:t xml:space="preserve">      Tecnología Aplicada a Sistemas de Fotocopiado,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$112,189</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MIGUEL ANGEL FALCON VEGA</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$42,920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SCOTTO BOETANI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$57,147</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Centro Automotriz </w:t>
            </w:r>
            <w:proofErr w:type="spellStart"/>
            <w:r w:rsidRPr="00D05B9E">
              <w:rPr>
                <w:rFonts w:ascii="Arial" w:eastAsia="Times New Roman" w:hAnsi="Arial" w:cs="Arial"/>
                <w:color w:val="000000"/>
                <w:sz w:val="14"/>
                <w:szCs w:val="14"/>
                <w:lang w:eastAsia="es-MX"/>
              </w:rPr>
              <w:t>Futurama</w:t>
            </w:r>
            <w:proofErr w:type="spellEnd"/>
            <w:r w:rsidRPr="00D05B9E">
              <w:rPr>
                <w:rFonts w:ascii="Arial" w:eastAsia="Times New Roman" w:hAnsi="Arial" w:cs="Arial"/>
                <w:color w:val="000000"/>
                <w:sz w:val="14"/>
                <w:szCs w:val="14"/>
                <w:lang w:eastAsia="es-MX"/>
              </w:rPr>
              <w:t>,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$40,293</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ELEVADORES TECMO,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$20,416</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MULTISID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$940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JORGES AUTO REFACCIONES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$3,075</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Silvia Guevara Cadena</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$2,620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Daniel Andrade Torres</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$19,975</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OSCAR EDMUNDO CASTAÑEDA GUZMAN</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$4,377</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JOSE REMY GUADARRAMA BARRERA</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$217,384</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MARIA LETICIA TABOADA SALGADO</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$30,044</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RANNO MX COMERCIALIZADORA, S.R.L.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$21,973</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ABANIKO MX AGENCIA DE PUBLICIDAD S DE RL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$64,960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BLANCA VIVIANA RODRIGUEZ VIVANCO</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$22,690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MARICRUZ DIAZ SANCHEZ</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$11,600</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Grupo Automotriz </w:t>
            </w:r>
            <w:proofErr w:type="spellStart"/>
            <w:r w:rsidRPr="00D05B9E">
              <w:rPr>
                <w:rFonts w:ascii="Arial" w:eastAsia="Times New Roman" w:hAnsi="Arial" w:cs="Arial"/>
                <w:color w:val="000000"/>
                <w:sz w:val="14"/>
                <w:szCs w:val="14"/>
                <w:lang w:eastAsia="es-MX"/>
              </w:rPr>
              <w:t>Iragorri</w:t>
            </w:r>
            <w:proofErr w:type="spellEnd"/>
            <w:r w:rsidRPr="00D05B9E">
              <w:rPr>
                <w:rFonts w:ascii="Arial" w:eastAsia="Times New Roman" w:hAnsi="Arial" w:cs="Arial"/>
                <w:color w:val="000000"/>
                <w:sz w:val="14"/>
                <w:szCs w:val="14"/>
                <w:lang w:eastAsia="es-MX"/>
              </w:rPr>
              <w:t xml:space="preserve"> S.A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$33,786</w:t>
            </w:r>
          </w:p>
        </w:tc>
      </w:tr>
      <w:tr w:rsidR="00D05B9E" w:rsidRPr="00D05B9E" w:rsidTr="00EB03DE">
        <w:trPr>
          <w:trHeight w:val="162"/>
        </w:trPr>
        <w:tc>
          <w:tcPr>
            <w:tcW w:w="4111" w:type="dxa"/>
            <w:tcBorders>
              <w:top w:val="nil"/>
              <w:left w:val="single" w:sz="4" w:space="0" w:color="auto"/>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Mebasys</w:t>
            </w:r>
            <w:proofErr w:type="spellEnd"/>
            <w:r w:rsidRPr="00D05B9E">
              <w:rPr>
                <w:rFonts w:ascii="Arial" w:eastAsia="Times New Roman" w:hAnsi="Arial" w:cs="Arial"/>
                <w:color w:val="000000"/>
                <w:sz w:val="14"/>
                <w:szCs w:val="14"/>
                <w:lang w:eastAsia="es-MX"/>
              </w:rPr>
              <w:t xml:space="preserve"> </w:t>
            </w:r>
            <w:proofErr w:type="spellStart"/>
            <w:r w:rsidRPr="00D05B9E">
              <w:rPr>
                <w:rFonts w:ascii="Arial" w:eastAsia="Times New Roman" w:hAnsi="Arial" w:cs="Arial"/>
                <w:color w:val="000000"/>
                <w:sz w:val="14"/>
                <w:szCs w:val="14"/>
                <w:lang w:eastAsia="es-MX"/>
              </w:rPr>
              <w:t>Sa</w:t>
            </w:r>
            <w:proofErr w:type="spellEnd"/>
            <w:r w:rsidRPr="00D05B9E">
              <w:rPr>
                <w:rFonts w:ascii="Arial" w:eastAsia="Times New Roman" w:hAnsi="Arial" w:cs="Arial"/>
                <w:color w:val="000000"/>
                <w:sz w:val="14"/>
                <w:szCs w:val="14"/>
                <w:lang w:eastAsia="es-MX"/>
              </w:rPr>
              <w:t xml:space="preserve"> de CV</w:t>
            </w:r>
          </w:p>
        </w:tc>
        <w:tc>
          <w:tcPr>
            <w:tcW w:w="1189" w:type="dxa"/>
            <w:tcBorders>
              <w:top w:val="nil"/>
              <w:left w:val="nil"/>
              <w:bottom w:val="single" w:sz="4" w:space="0" w:color="auto"/>
              <w:right w:val="single" w:sz="4" w:space="0" w:color="auto"/>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color w:val="000000"/>
                <w:sz w:val="14"/>
                <w:szCs w:val="14"/>
                <w:lang w:eastAsia="es-MX"/>
              </w:rPr>
            </w:pPr>
            <w:r w:rsidRPr="00D05B9E">
              <w:rPr>
                <w:rFonts w:ascii="Arial" w:eastAsia="Times New Roman" w:hAnsi="Arial" w:cs="Arial"/>
                <w:color w:val="000000"/>
                <w:sz w:val="14"/>
                <w:szCs w:val="14"/>
                <w:lang w:eastAsia="es-MX"/>
              </w:rPr>
              <w:t>$45,936</w:t>
            </w:r>
          </w:p>
        </w:tc>
      </w:tr>
      <w:tr w:rsidR="00D05B9E" w:rsidRPr="00D05B9E" w:rsidTr="00EB03DE">
        <w:trPr>
          <w:trHeight w:val="435"/>
        </w:trPr>
        <w:tc>
          <w:tcPr>
            <w:tcW w:w="4111" w:type="dxa"/>
            <w:tcBorders>
              <w:top w:val="nil"/>
              <w:left w:val="nil"/>
              <w:bottom w:val="nil"/>
              <w:right w:val="nil"/>
            </w:tcBorders>
            <w:shd w:val="clear" w:color="auto" w:fill="auto"/>
            <w:noWrap/>
            <w:vAlign w:val="bottom"/>
            <w:hideMark/>
          </w:tcPr>
          <w:p w:rsidR="00D05B9E" w:rsidRPr="00D05B9E" w:rsidRDefault="00D05B9E" w:rsidP="00D05B9E">
            <w:pPr>
              <w:spacing w:after="0" w:line="240" w:lineRule="auto"/>
              <w:jc w:val="right"/>
              <w:rPr>
                <w:rFonts w:ascii="Tahoma" w:eastAsia="Times New Roman" w:hAnsi="Tahoma" w:cs="Tahoma"/>
                <w:b/>
                <w:bCs/>
                <w:color w:val="000000"/>
                <w:sz w:val="16"/>
                <w:szCs w:val="16"/>
                <w:lang w:eastAsia="es-MX"/>
              </w:rPr>
            </w:pPr>
            <w:r w:rsidRPr="00D05B9E">
              <w:rPr>
                <w:rFonts w:ascii="Tahoma" w:eastAsia="Times New Roman" w:hAnsi="Tahoma" w:cs="Tahoma"/>
                <w:b/>
                <w:bCs/>
                <w:color w:val="000000"/>
                <w:sz w:val="16"/>
                <w:szCs w:val="16"/>
                <w:lang w:eastAsia="es-MX"/>
              </w:rPr>
              <w:t>SUMA</w:t>
            </w:r>
          </w:p>
        </w:tc>
        <w:tc>
          <w:tcPr>
            <w:tcW w:w="1189" w:type="dxa"/>
            <w:tcBorders>
              <w:top w:val="nil"/>
              <w:left w:val="nil"/>
              <w:bottom w:val="nil"/>
              <w:right w:val="nil"/>
            </w:tcBorders>
            <w:shd w:val="clear" w:color="auto" w:fill="auto"/>
            <w:vAlign w:val="bottom"/>
            <w:hideMark/>
          </w:tcPr>
          <w:p w:rsidR="00D05B9E" w:rsidRPr="00D05B9E" w:rsidRDefault="00D05B9E" w:rsidP="00D05B9E">
            <w:pPr>
              <w:spacing w:after="0" w:line="240" w:lineRule="auto"/>
              <w:jc w:val="right"/>
              <w:rPr>
                <w:rFonts w:ascii="Arial" w:eastAsia="Times New Roman" w:hAnsi="Arial" w:cs="Arial"/>
                <w:b/>
                <w:bCs/>
                <w:color w:val="000000"/>
                <w:sz w:val="16"/>
                <w:szCs w:val="16"/>
                <w:lang w:eastAsia="es-MX"/>
              </w:rPr>
            </w:pPr>
            <w:r w:rsidRPr="00D05B9E">
              <w:rPr>
                <w:rFonts w:ascii="Arial" w:eastAsia="Times New Roman" w:hAnsi="Arial" w:cs="Arial"/>
                <w:b/>
                <w:bCs/>
                <w:color w:val="000000"/>
                <w:sz w:val="16"/>
                <w:szCs w:val="16"/>
                <w:lang w:eastAsia="es-MX"/>
              </w:rPr>
              <w:t>$831,791</w:t>
            </w:r>
          </w:p>
        </w:tc>
      </w:tr>
    </w:tbl>
    <w:p w:rsidR="00D05B9E" w:rsidRPr="00D05B9E" w:rsidRDefault="00D05B9E" w:rsidP="00D05B9E">
      <w:pPr>
        <w:spacing w:after="0" w:line="240" w:lineRule="auto"/>
        <w:ind w:firstLine="288"/>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br w:type="textWrapping" w:clear="all"/>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i/>
          <w:sz w:val="24"/>
          <w:szCs w:val="24"/>
        </w:rPr>
      </w:pPr>
      <w:r w:rsidRPr="00D05B9E">
        <w:rPr>
          <w:rFonts w:ascii="Trebuchet MS" w:hAnsi="Trebuchet MS"/>
          <w:sz w:val="24"/>
          <w:szCs w:val="24"/>
        </w:rPr>
        <w:t>TRANSFERENCIAS OTORGADAS POR PAGAR A CORTO PLAZO:</w:t>
      </w:r>
      <w:r w:rsidRPr="00D05B9E">
        <w:rPr>
          <w:rFonts w:ascii="Trebuchet MS" w:hAnsi="Trebuchet MS"/>
          <w:i/>
          <w:sz w:val="24"/>
          <w:szCs w:val="24"/>
        </w:rPr>
        <w:t xml:space="preserve">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Representa los adeudos que el H. Tribunal Superior de Justicia del Poder Judicial del Estado de Morelos mantiene por un importe de $6’224,218 (seis millones doscientos veinticuatro mil doscientos dieciocho pesos), que se encuentra integrados de la siguiente manera:</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tbl>
      <w:tblPr>
        <w:tblW w:w="4600" w:type="dxa"/>
        <w:tblInd w:w="2387" w:type="dxa"/>
        <w:tblCellMar>
          <w:left w:w="70" w:type="dxa"/>
          <w:right w:w="70" w:type="dxa"/>
        </w:tblCellMar>
        <w:tblLook w:val="04A0" w:firstRow="1" w:lastRow="0" w:firstColumn="1" w:lastColumn="0" w:noHBand="0" w:noVBand="1"/>
      </w:tblPr>
      <w:tblGrid>
        <w:gridCol w:w="2760"/>
        <w:gridCol w:w="1840"/>
      </w:tblGrid>
      <w:tr w:rsidR="00D05B9E" w:rsidRPr="00D05B9E" w:rsidTr="00EB03DE">
        <w:trPr>
          <w:trHeight w:val="510"/>
        </w:trPr>
        <w:tc>
          <w:tcPr>
            <w:tcW w:w="27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D05B9E" w:rsidRPr="00D05B9E" w:rsidRDefault="00D05B9E" w:rsidP="00D05B9E">
            <w:pPr>
              <w:spacing w:after="0" w:line="240" w:lineRule="auto"/>
              <w:contextualSpacing/>
              <w:jc w:val="center"/>
              <w:rPr>
                <w:rFonts w:ascii="Trebuchet MS" w:hAnsi="Trebuchet MS"/>
                <w:b/>
                <w:bCs/>
                <w:color w:val="000000"/>
                <w:lang w:eastAsia="es-MX"/>
              </w:rPr>
            </w:pPr>
            <w:r w:rsidRPr="00D05B9E">
              <w:rPr>
                <w:rFonts w:ascii="Trebuchet MS" w:hAnsi="Trebuchet MS"/>
                <w:b/>
                <w:bCs/>
                <w:color w:val="000000"/>
                <w:lang w:eastAsia="es-MX"/>
              </w:rPr>
              <w:t>TRANSFERENCIAS OTORGADAS POR PAGAR A CORTO PLAZO</w:t>
            </w:r>
          </w:p>
        </w:tc>
        <w:tc>
          <w:tcPr>
            <w:tcW w:w="184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contextualSpacing/>
              <w:jc w:val="center"/>
              <w:rPr>
                <w:rFonts w:ascii="Trebuchet MS" w:hAnsi="Trebuchet MS"/>
                <w:b/>
                <w:bCs/>
                <w:color w:val="000000"/>
                <w:lang w:eastAsia="es-MX"/>
              </w:rPr>
            </w:pPr>
            <w:r w:rsidRPr="00D05B9E">
              <w:rPr>
                <w:rFonts w:ascii="Trebuchet MS" w:hAnsi="Trebuchet MS"/>
                <w:b/>
                <w:bCs/>
                <w:color w:val="000000"/>
                <w:lang w:eastAsia="es-MX"/>
              </w:rPr>
              <w:t>IMPORTE</w:t>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Jubilaciones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       5,033,038</w:t>
            </w:r>
            <w:r w:rsidRPr="00D05B9E">
              <w:rPr>
                <w:rFonts w:ascii="Trebuchet MS" w:hAnsi="Trebuchet MS"/>
                <w:color w:val="000000"/>
                <w:lang w:eastAsia="es-MX"/>
              </w:rPr>
              <w:tab/>
            </w:r>
          </w:p>
        </w:tc>
      </w:tr>
      <w:tr w:rsidR="00D05B9E" w:rsidRPr="00D05B9E" w:rsidTr="00EB03DE">
        <w:trPr>
          <w:trHeight w:val="255"/>
        </w:trPr>
        <w:tc>
          <w:tcPr>
            <w:tcW w:w="2760"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color w:val="000000"/>
                <w:lang w:eastAsia="es-MX"/>
              </w:rPr>
              <w:t>Gratificación Anual Jubilados</w:t>
            </w:r>
          </w:p>
        </w:tc>
        <w:tc>
          <w:tcPr>
            <w:tcW w:w="1840"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color w:val="000000"/>
                <w:lang w:eastAsia="es-MX"/>
              </w:rPr>
              <w:t xml:space="preserve">1,191,180 </w:t>
            </w:r>
          </w:p>
        </w:tc>
      </w:tr>
      <w:tr w:rsidR="00D05B9E" w:rsidRPr="00D05B9E" w:rsidTr="00EB03DE">
        <w:trPr>
          <w:trHeight w:val="255"/>
        </w:trPr>
        <w:tc>
          <w:tcPr>
            <w:tcW w:w="2760"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contextualSpacing/>
              <w:rPr>
                <w:rFonts w:ascii="Trebuchet MS" w:hAnsi="Trebuchet MS"/>
                <w:color w:val="000000"/>
                <w:lang w:eastAsia="es-MX"/>
              </w:rPr>
            </w:pPr>
            <w:r w:rsidRPr="00D05B9E">
              <w:rPr>
                <w:rFonts w:ascii="Trebuchet MS" w:hAnsi="Trebuchet MS"/>
                <w:b/>
                <w:bCs/>
                <w:color w:val="000000"/>
                <w:lang w:eastAsia="es-MX"/>
              </w:rPr>
              <w:t>Suma</w:t>
            </w:r>
          </w:p>
        </w:tc>
        <w:tc>
          <w:tcPr>
            <w:tcW w:w="1840" w:type="dxa"/>
            <w:tcBorders>
              <w:top w:val="nil"/>
              <w:left w:val="nil"/>
              <w:bottom w:val="nil"/>
              <w:right w:val="nil"/>
            </w:tcBorders>
            <w:shd w:val="clear" w:color="auto" w:fill="auto"/>
            <w:noWrap/>
            <w:vAlign w:val="bottom"/>
            <w:hideMark/>
          </w:tcPr>
          <w:p w:rsidR="00D05B9E" w:rsidRPr="00D05B9E" w:rsidRDefault="00D05B9E" w:rsidP="00D05B9E">
            <w:pPr>
              <w:spacing w:after="0" w:line="240" w:lineRule="auto"/>
              <w:contextualSpacing/>
              <w:jc w:val="right"/>
              <w:rPr>
                <w:rFonts w:ascii="Trebuchet MS" w:hAnsi="Trebuchet MS"/>
                <w:color w:val="000000"/>
                <w:lang w:eastAsia="es-MX"/>
              </w:rPr>
            </w:pPr>
            <w:r w:rsidRPr="00D05B9E">
              <w:rPr>
                <w:rFonts w:ascii="Trebuchet MS" w:hAnsi="Trebuchet MS"/>
                <w:b/>
                <w:color w:val="000000"/>
                <w:lang w:eastAsia="es-MX"/>
              </w:rPr>
              <w:t xml:space="preserve">6,224,218 </w:t>
            </w:r>
          </w:p>
        </w:tc>
      </w:tr>
      <w:tr w:rsidR="00D05B9E" w:rsidRPr="00D05B9E" w:rsidTr="00EB03DE">
        <w:trPr>
          <w:trHeight w:val="255"/>
        </w:trPr>
        <w:tc>
          <w:tcPr>
            <w:tcW w:w="2760" w:type="dxa"/>
            <w:tcBorders>
              <w:top w:val="nil"/>
              <w:left w:val="nil"/>
              <w:bottom w:val="nil"/>
              <w:right w:val="nil"/>
            </w:tcBorders>
            <w:shd w:val="clear" w:color="auto" w:fill="auto"/>
            <w:noWrap/>
            <w:vAlign w:val="center"/>
          </w:tcPr>
          <w:p w:rsidR="00D05B9E" w:rsidRPr="00D05B9E" w:rsidRDefault="00D05B9E" w:rsidP="00D05B9E">
            <w:pPr>
              <w:spacing w:after="0" w:line="240" w:lineRule="auto"/>
              <w:contextualSpacing/>
              <w:jc w:val="right"/>
              <w:rPr>
                <w:rFonts w:ascii="Trebuchet MS" w:hAnsi="Trebuchet MS"/>
                <w:b/>
                <w:bCs/>
                <w:color w:val="000000"/>
                <w:lang w:eastAsia="es-MX"/>
              </w:rPr>
            </w:pPr>
          </w:p>
        </w:tc>
        <w:tc>
          <w:tcPr>
            <w:tcW w:w="1840" w:type="dxa"/>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jc w:val="right"/>
              <w:rPr>
                <w:rFonts w:ascii="Trebuchet MS" w:hAnsi="Trebuchet MS"/>
                <w:b/>
                <w:color w:val="000000"/>
                <w:lang w:eastAsia="es-MX"/>
              </w:rPr>
            </w:pP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RETENCIONES Y CONTRIBUCIONES POR PAGAR: </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Este rubro comprende las distintas retenciones a enterar por concepto de impuestos a las diversas entidades de recaudación, así como retenciones de nómina que se realizan y deben enterar a diversos proveedores y que al cierre del Cuarto Trimestre 2022 tiene un saldo de $41,174,494 (cuarenta y un millones cientos setenta y cuatro mil cuatrocientos noventa y cuatro pesos).</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tbl>
      <w:tblPr>
        <w:tblW w:w="6741" w:type="dxa"/>
        <w:tblInd w:w="1341" w:type="dxa"/>
        <w:tblCellMar>
          <w:left w:w="70" w:type="dxa"/>
          <w:right w:w="70" w:type="dxa"/>
        </w:tblCellMar>
        <w:tblLook w:val="04A0" w:firstRow="1" w:lastRow="0" w:firstColumn="1" w:lastColumn="0" w:noHBand="0" w:noVBand="1"/>
      </w:tblPr>
      <w:tblGrid>
        <w:gridCol w:w="5408"/>
        <w:gridCol w:w="1333"/>
      </w:tblGrid>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rPr>
                <w:rFonts w:ascii="Trebuchet MS" w:hAnsi="Trebuchet MS"/>
                <w:b/>
                <w:bCs/>
                <w:color w:val="000000"/>
                <w:sz w:val="16"/>
                <w:szCs w:val="16"/>
                <w:lang w:eastAsia="es-MX"/>
              </w:rPr>
            </w:pPr>
            <w:r w:rsidRPr="00D05B9E">
              <w:rPr>
                <w:rFonts w:ascii="Trebuchet MS" w:hAnsi="Trebuchet MS"/>
                <w:b/>
                <w:bCs/>
                <w:color w:val="000000"/>
                <w:sz w:val="16"/>
                <w:szCs w:val="16"/>
                <w:lang w:eastAsia="es-MX"/>
              </w:rPr>
              <w:t>RETENCIONES Y CONTRIBUCIONES POR PAGAR A CORTO PLAZO</w:t>
            </w:r>
          </w:p>
        </w:tc>
        <w:tc>
          <w:tcPr>
            <w:tcW w:w="1333"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D05B9E" w:rsidRPr="00D05B9E" w:rsidRDefault="00D05B9E" w:rsidP="00D05B9E">
            <w:pPr>
              <w:spacing w:after="0" w:line="240" w:lineRule="auto"/>
              <w:jc w:val="right"/>
              <w:rPr>
                <w:rFonts w:ascii="Trebuchet MS" w:hAnsi="Trebuchet MS"/>
                <w:b/>
                <w:bCs/>
                <w:color w:val="000000"/>
                <w:sz w:val="16"/>
                <w:szCs w:val="16"/>
                <w:lang w:eastAsia="es-MX"/>
              </w:rPr>
            </w:pPr>
            <w:r w:rsidRPr="00D05B9E">
              <w:rPr>
                <w:rFonts w:ascii="Trebuchet MS" w:hAnsi="Trebuchet MS"/>
                <w:b/>
                <w:bCs/>
                <w:color w:val="000000"/>
                <w:sz w:val="16"/>
                <w:szCs w:val="16"/>
                <w:lang w:eastAsia="es-MX"/>
              </w:rPr>
              <w:t>IMPORTE</w:t>
            </w:r>
          </w:p>
        </w:tc>
      </w:tr>
      <w:tr w:rsidR="00D05B9E" w:rsidRPr="00D05B9E" w:rsidTr="00EB03DE">
        <w:trPr>
          <w:trHeight w:val="54"/>
        </w:trPr>
        <w:tc>
          <w:tcPr>
            <w:tcW w:w="5408"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sz w:val="16"/>
                <w:szCs w:val="16"/>
                <w:lang w:eastAsia="es-MX"/>
              </w:rPr>
            </w:pPr>
            <w:r w:rsidRPr="00D05B9E">
              <w:rPr>
                <w:rFonts w:ascii="Trebuchet MS" w:hAnsi="Trebuchet MS"/>
                <w:b/>
                <w:bCs/>
                <w:i/>
                <w:iCs/>
                <w:color w:val="000000"/>
                <w:sz w:val="16"/>
                <w:szCs w:val="16"/>
                <w:lang w:eastAsia="es-MX"/>
              </w:rPr>
              <w:t>APORTACION PATRONAL</w:t>
            </w:r>
          </w:p>
        </w:tc>
        <w:tc>
          <w:tcPr>
            <w:tcW w:w="1333"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--Cuotas IMSS</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1,239,427</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--Instituto de Crédito, Aportación</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258,693</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--Sindicato de Trabajadores del Poder Judicial</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144,185</w:t>
            </w:r>
          </w:p>
        </w:tc>
      </w:tr>
      <w:tr w:rsidR="00D05B9E" w:rsidRPr="00D05B9E" w:rsidTr="00EB03DE">
        <w:trPr>
          <w:trHeight w:val="54"/>
        </w:trPr>
        <w:tc>
          <w:tcPr>
            <w:tcW w:w="5408"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sz w:val="16"/>
                <w:szCs w:val="16"/>
                <w:lang w:eastAsia="es-MX"/>
              </w:rPr>
            </w:pPr>
            <w:r w:rsidRPr="00D05B9E">
              <w:rPr>
                <w:rFonts w:ascii="Trebuchet MS" w:hAnsi="Trebuchet MS"/>
                <w:b/>
                <w:bCs/>
                <w:i/>
                <w:iCs/>
                <w:color w:val="000000"/>
                <w:sz w:val="16"/>
                <w:szCs w:val="16"/>
                <w:lang w:eastAsia="es-MX"/>
              </w:rPr>
              <w:lastRenderedPageBreak/>
              <w:t>RETENCIONES TRABAJADOR Y TERCEROS</w:t>
            </w:r>
          </w:p>
        </w:tc>
        <w:tc>
          <w:tcPr>
            <w:tcW w:w="1333"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--I.S.R Sueldos</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23,330,797</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--I.S.R. Retenciones Honorarios</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10,215</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--I.S.R. Retenciones Arrendamiento</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3,531</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--I.S.R. Retenido-Confianza</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1,970</w:t>
            </w:r>
          </w:p>
        </w:tc>
      </w:tr>
      <w:tr w:rsidR="00D05B9E" w:rsidRPr="00D05B9E" w:rsidTr="00EB03DE">
        <w:trPr>
          <w:trHeight w:val="54"/>
        </w:trPr>
        <w:tc>
          <w:tcPr>
            <w:tcW w:w="5408"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b/>
                <w:bCs/>
                <w:i/>
                <w:iCs/>
                <w:color w:val="000000"/>
                <w:sz w:val="16"/>
                <w:szCs w:val="16"/>
                <w:lang w:eastAsia="es-MX"/>
              </w:rPr>
              <w:t>RETENCIONES SINDICATO</w:t>
            </w:r>
          </w:p>
        </w:tc>
        <w:tc>
          <w:tcPr>
            <w:tcW w:w="1333"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sz w:val="16"/>
                <w:szCs w:val="16"/>
                <w:lang w:eastAsia="es-MX"/>
              </w:rPr>
            </w:pPr>
            <w:r w:rsidRPr="00D05B9E">
              <w:rPr>
                <w:rFonts w:ascii="Trebuchet MS" w:hAnsi="Trebuchet MS"/>
                <w:color w:val="000000"/>
                <w:sz w:val="16"/>
                <w:szCs w:val="16"/>
                <w:lang w:eastAsia="es-MX"/>
              </w:rPr>
              <w:t>--Personal Jubilado</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572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--Personal vigente, cuotas</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22,400</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--Fondo para gastos funerales</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448</w:t>
            </w:r>
          </w:p>
        </w:tc>
      </w:tr>
      <w:tr w:rsidR="00D05B9E" w:rsidRPr="00D05B9E" w:rsidTr="00EB03DE">
        <w:trPr>
          <w:trHeight w:val="54"/>
        </w:trPr>
        <w:tc>
          <w:tcPr>
            <w:tcW w:w="5408" w:type="dxa"/>
            <w:tcBorders>
              <w:top w:val="nil"/>
              <w:left w:val="nil"/>
              <w:bottom w:val="single" w:sz="4" w:space="0" w:color="auto"/>
              <w:right w:val="nil"/>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b/>
                <w:bCs/>
                <w:i/>
                <w:iCs/>
                <w:color w:val="000000"/>
                <w:sz w:val="16"/>
                <w:szCs w:val="16"/>
                <w:lang w:eastAsia="es-MX"/>
              </w:rPr>
              <w:t>RETENCIONES DIVERSAS</w:t>
            </w:r>
          </w:p>
        </w:tc>
        <w:tc>
          <w:tcPr>
            <w:tcW w:w="1333" w:type="dxa"/>
            <w:tcBorders>
              <w:top w:val="nil"/>
              <w:left w:val="nil"/>
              <w:bottom w:val="single" w:sz="4" w:space="0" w:color="auto"/>
              <w:right w:val="nil"/>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--Seguro Individual </w:t>
            </w:r>
            <w:proofErr w:type="spellStart"/>
            <w:r w:rsidRPr="00D05B9E">
              <w:rPr>
                <w:rFonts w:ascii="Trebuchet MS" w:hAnsi="Trebuchet MS"/>
                <w:color w:val="000000"/>
                <w:sz w:val="16"/>
                <w:szCs w:val="16"/>
                <w:lang w:eastAsia="es-MX"/>
              </w:rPr>
              <w:t>Metlife</w:t>
            </w:r>
            <w:proofErr w:type="spellEnd"/>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244,060</w:t>
            </w: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sz w:val="16"/>
                <w:szCs w:val="16"/>
                <w:lang w:eastAsia="es-MX"/>
              </w:rPr>
            </w:pPr>
            <w:r w:rsidRPr="00D05B9E">
              <w:rPr>
                <w:rFonts w:ascii="Trebuchet MS" w:hAnsi="Trebuchet MS"/>
                <w:color w:val="000000"/>
                <w:sz w:val="16"/>
                <w:szCs w:val="16"/>
                <w:lang w:eastAsia="es-MX"/>
              </w:rPr>
              <w:t>--</w:t>
            </w:r>
            <w:proofErr w:type="spellStart"/>
            <w:r w:rsidRPr="00D05B9E">
              <w:rPr>
                <w:rFonts w:ascii="Trebuchet MS" w:hAnsi="Trebuchet MS"/>
                <w:color w:val="000000"/>
                <w:sz w:val="16"/>
                <w:szCs w:val="16"/>
                <w:lang w:eastAsia="es-MX"/>
              </w:rPr>
              <w:t>Intermercado</w:t>
            </w:r>
            <w:proofErr w:type="spellEnd"/>
            <w:r w:rsidRPr="00D05B9E">
              <w:rPr>
                <w:rFonts w:ascii="Trebuchet MS" w:hAnsi="Trebuchet MS"/>
                <w:color w:val="000000"/>
                <w:sz w:val="16"/>
                <w:szCs w:val="16"/>
                <w:lang w:eastAsia="es-MX"/>
              </w:rPr>
              <w:t xml:space="preserve"> S.A.</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--Impulsora </w:t>
            </w:r>
            <w:proofErr w:type="spellStart"/>
            <w:r w:rsidRPr="00D05B9E">
              <w:rPr>
                <w:rFonts w:ascii="Trebuchet MS" w:hAnsi="Trebuchet MS"/>
                <w:color w:val="000000"/>
                <w:sz w:val="16"/>
                <w:szCs w:val="16"/>
                <w:lang w:eastAsia="es-MX"/>
              </w:rPr>
              <w:t>Promobien</w:t>
            </w:r>
            <w:proofErr w:type="spellEnd"/>
            <w:r w:rsidRPr="00D05B9E">
              <w:rPr>
                <w:rFonts w:ascii="Trebuchet MS" w:hAnsi="Trebuchet MS"/>
                <w:color w:val="000000"/>
                <w:sz w:val="16"/>
                <w:szCs w:val="16"/>
                <w:lang w:eastAsia="es-MX"/>
              </w:rPr>
              <w:t xml:space="preserve"> S.A. de C.V.</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113,133</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w:t>
            </w:r>
            <w:proofErr w:type="spellStart"/>
            <w:r w:rsidRPr="00D05B9E">
              <w:rPr>
                <w:rFonts w:ascii="Trebuchet MS" w:hAnsi="Trebuchet MS"/>
                <w:color w:val="000000"/>
                <w:sz w:val="16"/>
                <w:szCs w:val="16"/>
                <w:lang w:eastAsia="es-MX"/>
              </w:rPr>
              <w:t>Qualitas</w:t>
            </w:r>
            <w:proofErr w:type="spellEnd"/>
            <w:r w:rsidRPr="00D05B9E">
              <w:rPr>
                <w:rFonts w:ascii="Trebuchet MS" w:hAnsi="Trebuchet MS"/>
                <w:color w:val="000000"/>
                <w:sz w:val="16"/>
                <w:szCs w:val="16"/>
                <w:lang w:eastAsia="es-MX"/>
              </w:rPr>
              <w:t xml:space="preserve"> compañía de seguros S.A de C.V.</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6,660</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--Asociación de Jubilados y Pensionados</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8,500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--Instituto del Fondo Nacional para el Consumo(INFONACOT)</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--Hispano Mexicana</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3,262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--Cristina Prado Hernández (Óptica Bellavista)</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5,285</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w:t>
            </w:r>
            <w:proofErr w:type="spellStart"/>
            <w:r w:rsidRPr="00D05B9E">
              <w:rPr>
                <w:rFonts w:ascii="Trebuchet MS" w:hAnsi="Trebuchet MS"/>
                <w:color w:val="000000"/>
                <w:sz w:val="16"/>
                <w:szCs w:val="16"/>
                <w:lang w:eastAsia="es-MX"/>
              </w:rPr>
              <w:t>Publiseg</w:t>
            </w:r>
            <w:proofErr w:type="spellEnd"/>
            <w:r w:rsidRPr="00D05B9E">
              <w:rPr>
                <w:rFonts w:ascii="Trebuchet MS" w:hAnsi="Trebuchet MS"/>
                <w:color w:val="000000"/>
                <w:sz w:val="16"/>
                <w:szCs w:val="16"/>
                <w:lang w:eastAsia="es-MX"/>
              </w:rPr>
              <w:t xml:space="preserve"> </w:t>
            </w:r>
            <w:proofErr w:type="spellStart"/>
            <w:r w:rsidRPr="00D05B9E">
              <w:rPr>
                <w:rFonts w:ascii="Trebuchet MS" w:hAnsi="Trebuchet MS"/>
                <w:color w:val="000000"/>
                <w:sz w:val="16"/>
                <w:szCs w:val="16"/>
                <w:lang w:eastAsia="es-MX"/>
              </w:rPr>
              <w:t>Sapi</w:t>
            </w:r>
            <w:proofErr w:type="spellEnd"/>
            <w:r w:rsidRPr="00D05B9E">
              <w:rPr>
                <w:rFonts w:ascii="Trebuchet MS" w:hAnsi="Trebuchet MS"/>
                <w:color w:val="000000"/>
                <w:sz w:val="16"/>
                <w:szCs w:val="16"/>
                <w:lang w:eastAsia="es-MX"/>
              </w:rPr>
              <w:t xml:space="preserve"> de C.V. </w:t>
            </w:r>
            <w:proofErr w:type="spellStart"/>
            <w:r w:rsidRPr="00D05B9E">
              <w:rPr>
                <w:rFonts w:ascii="Trebuchet MS" w:hAnsi="Trebuchet MS"/>
                <w:color w:val="000000"/>
                <w:sz w:val="16"/>
                <w:szCs w:val="16"/>
                <w:lang w:eastAsia="es-MX"/>
              </w:rPr>
              <w:t>Sofom</w:t>
            </w:r>
            <w:proofErr w:type="spellEnd"/>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77,693</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--Seguro Individual Mapfre, S.A de C.V.</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128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--Descuento Por Detrimento</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1,770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--PROY. COINCIDIR SA DE CV SFP</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 </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w:t>
            </w:r>
            <w:proofErr w:type="spellStart"/>
            <w:r w:rsidRPr="00D05B9E">
              <w:rPr>
                <w:rFonts w:ascii="Trebuchet MS" w:hAnsi="Trebuchet MS"/>
                <w:color w:val="000000"/>
                <w:sz w:val="16"/>
                <w:szCs w:val="16"/>
                <w:lang w:eastAsia="es-MX"/>
              </w:rPr>
              <w:t>Fincomun</w:t>
            </w:r>
            <w:proofErr w:type="spellEnd"/>
            <w:r w:rsidRPr="00D05B9E">
              <w:rPr>
                <w:rFonts w:ascii="Trebuchet MS" w:hAnsi="Trebuchet MS"/>
                <w:color w:val="000000"/>
                <w:sz w:val="16"/>
                <w:szCs w:val="16"/>
                <w:lang w:eastAsia="es-MX"/>
              </w:rPr>
              <w:t>, Servicios Financieros Comunitarios S.A</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1,344</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--Gastos </w:t>
            </w:r>
            <w:proofErr w:type="spellStart"/>
            <w:r w:rsidRPr="00D05B9E">
              <w:rPr>
                <w:rFonts w:ascii="Trebuchet MS" w:hAnsi="Trebuchet MS"/>
                <w:color w:val="000000"/>
                <w:sz w:val="16"/>
                <w:szCs w:val="16"/>
                <w:lang w:eastAsia="es-MX"/>
              </w:rPr>
              <w:t>Medicos</w:t>
            </w:r>
            <w:proofErr w:type="spellEnd"/>
            <w:r w:rsidRPr="00D05B9E">
              <w:rPr>
                <w:rFonts w:ascii="Trebuchet MS" w:hAnsi="Trebuchet MS"/>
                <w:color w:val="000000"/>
                <w:sz w:val="16"/>
                <w:szCs w:val="16"/>
                <w:lang w:eastAsia="es-MX"/>
              </w:rPr>
              <w:t xml:space="preserve"> </w:t>
            </w:r>
            <w:proofErr w:type="spellStart"/>
            <w:r w:rsidRPr="00D05B9E">
              <w:rPr>
                <w:rFonts w:ascii="Trebuchet MS" w:hAnsi="Trebuchet MS"/>
                <w:color w:val="000000"/>
                <w:sz w:val="16"/>
                <w:szCs w:val="16"/>
                <w:lang w:eastAsia="es-MX"/>
              </w:rPr>
              <w:t>Metlife</w:t>
            </w:r>
            <w:proofErr w:type="spellEnd"/>
            <w:r w:rsidRPr="00D05B9E">
              <w:rPr>
                <w:rFonts w:ascii="Trebuchet MS" w:hAnsi="Trebuchet MS"/>
                <w:color w:val="000000"/>
                <w:sz w:val="16"/>
                <w:szCs w:val="16"/>
                <w:lang w:eastAsia="es-MX"/>
              </w:rPr>
              <w:t xml:space="preserve"> S.A</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25,453</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--Leslie Flor de Liz (Asesores </w:t>
            </w:r>
            <w:proofErr w:type="spellStart"/>
            <w:r w:rsidRPr="00D05B9E">
              <w:rPr>
                <w:rFonts w:ascii="Trebuchet MS" w:hAnsi="Trebuchet MS"/>
                <w:color w:val="000000"/>
                <w:sz w:val="16"/>
                <w:szCs w:val="16"/>
                <w:lang w:eastAsia="es-MX"/>
              </w:rPr>
              <w:t>Opticos</w:t>
            </w:r>
            <w:proofErr w:type="spellEnd"/>
            <w:r w:rsidRPr="00D05B9E">
              <w:rPr>
                <w:rFonts w:ascii="Trebuchet MS" w:hAnsi="Trebuchet MS"/>
                <w:color w:val="000000"/>
                <w:sz w:val="16"/>
                <w:szCs w:val="16"/>
                <w:lang w:eastAsia="es-MX"/>
              </w:rPr>
              <w:t>)</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 xml:space="preserve">--Rosalba </w:t>
            </w:r>
            <w:proofErr w:type="spellStart"/>
            <w:r w:rsidRPr="00D05B9E">
              <w:rPr>
                <w:rFonts w:ascii="Trebuchet MS" w:hAnsi="Trebuchet MS"/>
                <w:color w:val="000000"/>
                <w:sz w:val="16"/>
                <w:szCs w:val="16"/>
                <w:lang w:eastAsia="es-MX"/>
              </w:rPr>
              <w:t>Corazon</w:t>
            </w:r>
            <w:proofErr w:type="spellEnd"/>
            <w:r w:rsidRPr="00D05B9E">
              <w:rPr>
                <w:rFonts w:ascii="Trebuchet MS" w:hAnsi="Trebuchet MS"/>
                <w:color w:val="000000"/>
                <w:sz w:val="16"/>
                <w:szCs w:val="16"/>
                <w:lang w:eastAsia="es-MX"/>
              </w:rPr>
              <w:t xml:space="preserve"> Herrera (</w:t>
            </w:r>
            <w:proofErr w:type="spellStart"/>
            <w:r w:rsidRPr="00D05B9E">
              <w:rPr>
                <w:rFonts w:ascii="Trebuchet MS" w:hAnsi="Trebuchet MS"/>
                <w:color w:val="000000"/>
                <w:sz w:val="16"/>
                <w:szCs w:val="16"/>
                <w:lang w:eastAsia="es-MX"/>
              </w:rPr>
              <w:t>climed</w:t>
            </w:r>
            <w:proofErr w:type="spellEnd"/>
            <w:r w:rsidRPr="00D05B9E">
              <w:rPr>
                <w:rFonts w:ascii="Trebuchet MS" w:hAnsi="Trebuchet MS"/>
                <w:color w:val="000000"/>
                <w:sz w:val="16"/>
                <w:szCs w:val="16"/>
                <w:lang w:eastAsia="es-MX"/>
              </w:rPr>
              <w:t>)</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10,765</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--Seguro de GMM Terceros</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6,252</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--Funeraria SIPREF SA de CV</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1,445</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--Fondo Auxiliar</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3,755</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--Aportación de Empleados</w:t>
            </w:r>
          </w:p>
        </w:tc>
        <w:tc>
          <w:tcPr>
            <w:tcW w:w="1333" w:type="dxa"/>
            <w:tcBorders>
              <w:top w:val="nil"/>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--Descuento por préstamo</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nil"/>
              <w:left w:val="nil"/>
              <w:bottom w:val="nil"/>
              <w:right w:val="nil"/>
            </w:tcBorders>
            <w:shd w:val="clear" w:color="auto" w:fill="auto"/>
            <w:noWrap/>
          </w:tcPr>
          <w:p w:rsidR="00D05B9E" w:rsidRPr="00D05B9E" w:rsidRDefault="00D05B9E" w:rsidP="00D05B9E">
            <w:pPr>
              <w:tabs>
                <w:tab w:val="left" w:pos="1277"/>
              </w:tabs>
              <w:jc w:val="center"/>
            </w:pPr>
          </w:p>
        </w:tc>
        <w:tc>
          <w:tcPr>
            <w:tcW w:w="1333" w:type="dxa"/>
            <w:tcBorders>
              <w:top w:val="nil"/>
              <w:left w:val="nil"/>
              <w:bottom w:val="nil"/>
              <w:right w:val="nil"/>
            </w:tcBorders>
            <w:shd w:val="clear" w:color="auto" w:fill="auto"/>
            <w:noWrap/>
          </w:tcPr>
          <w:p w:rsidR="00D05B9E" w:rsidRPr="00D05B9E" w:rsidRDefault="00D05B9E" w:rsidP="00D05B9E"/>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--Cuotas Retenidas al Personal</w:t>
            </w:r>
          </w:p>
        </w:tc>
        <w:tc>
          <w:tcPr>
            <w:tcW w:w="1333" w:type="dxa"/>
            <w:tcBorders>
              <w:top w:val="single" w:sz="4" w:space="0" w:color="auto"/>
              <w:left w:val="nil"/>
              <w:bottom w:val="single" w:sz="4" w:space="0" w:color="auto"/>
              <w:right w:val="single" w:sz="4" w:space="0" w:color="auto"/>
            </w:tcBorders>
            <w:shd w:val="clear" w:color="auto" w:fill="auto"/>
            <w:noWrap/>
            <w:vAlign w:val="center"/>
            <w:hideMark/>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183,236</w:t>
            </w:r>
          </w:p>
        </w:tc>
      </w:tr>
      <w:tr w:rsidR="00D05B9E" w:rsidRPr="00D05B9E" w:rsidTr="00EB03DE">
        <w:trPr>
          <w:trHeight w:val="54"/>
        </w:trPr>
        <w:tc>
          <w:tcPr>
            <w:tcW w:w="5408" w:type="dxa"/>
            <w:tcBorders>
              <w:top w:val="nil"/>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--Recuperación de Prestamos</w:t>
            </w:r>
          </w:p>
        </w:tc>
        <w:tc>
          <w:tcPr>
            <w:tcW w:w="1333" w:type="dxa"/>
            <w:tcBorders>
              <w:top w:val="nil"/>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9,028,186</w:t>
            </w:r>
          </w:p>
        </w:tc>
      </w:tr>
      <w:tr w:rsidR="00D05B9E" w:rsidRPr="00D05B9E" w:rsidTr="00EB03DE">
        <w:trPr>
          <w:trHeight w:val="54"/>
        </w:trPr>
        <w:tc>
          <w:tcPr>
            <w:tcW w:w="5408" w:type="dxa"/>
            <w:tcBorders>
              <w:top w:val="nil"/>
              <w:left w:val="nil"/>
              <w:bottom w:val="nil"/>
              <w:right w:val="nil"/>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b/>
                <w:bCs/>
                <w:i/>
                <w:iCs/>
                <w:color w:val="000000"/>
                <w:lang w:eastAsia="es-MX"/>
              </w:rPr>
              <w:t>Fondo Auxiliar TELEFONIA</w:t>
            </w:r>
          </w:p>
        </w:tc>
        <w:tc>
          <w:tcPr>
            <w:tcW w:w="1333" w:type="dxa"/>
            <w:tcBorders>
              <w:top w:val="nil"/>
              <w:left w:val="nil"/>
              <w:bottom w:val="nil"/>
              <w:right w:val="nil"/>
            </w:tcBorders>
            <w:shd w:val="clear" w:color="auto" w:fill="auto"/>
            <w:noWrap/>
            <w:vAlign w:val="bottom"/>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color w:val="000000"/>
                <w:sz w:val="16"/>
                <w:szCs w:val="16"/>
                <w:lang w:eastAsia="es-MX"/>
              </w:rPr>
              <w:t>--Fondo Auxiliar TELEFONIA</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color w:val="000000"/>
                <w:sz w:val="16"/>
                <w:szCs w:val="16"/>
                <w:lang w:eastAsia="es-MX"/>
              </w:rPr>
            </w:pPr>
            <w:r w:rsidRPr="00D05B9E">
              <w:rPr>
                <w:rFonts w:ascii="Trebuchet MS" w:hAnsi="Trebuchet MS"/>
                <w:color w:val="000000"/>
                <w:sz w:val="16"/>
                <w:szCs w:val="16"/>
                <w:lang w:eastAsia="es-MX"/>
              </w:rPr>
              <w:t>14,192</w:t>
            </w:r>
          </w:p>
        </w:tc>
      </w:tr>
      <w:tr w:rsidR="00D05B9E" w:rsidRPr="00D05B9E" w:rsidTr="00EB03DE">
        <w:trPr>
          <w:trHeight w:val="57"/>
        </w:trPr>
        <w:tc>
          <w:tcPr>
            <w:tcW w:w="5408" w:type="dxa"/>
            <w:tcBorders>
              <w:top w:val="nil"/>
              <w:left w:val="nil"/>
              <w:bottom w:val="nil"/>
              <w:right w:val="nil"/>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lang w:eastAsia="es-MX"/>
              </w:rPr>
            </w:pPr>
          </w:p>
        </w:tc>
        <w:tc>
          <w:tcPr>
            <w:tcW w:w="1333" w:type="dxa"/>
            <w:tcBorders>
              <w:top w:val="nil"/>
              <w:left w:val="nil"/>
              <w:bottom w:val="nil"/>
              <w:right w:val="nil"/>
            </w:tcBorders>
            <w:shd w:val="clear" w:color="auto" w:fill="auto"/>
            <w:noWrap/>
            <w:vAlign w:val="bottom"/>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7"/>
        </w:trPr>
        <w:tc>
          <w:tcPr>
            <w:tcW w:w="5408" w:type="dxa"/>
            <w:tcBorders>
              <w:top w:val="single" w:sz="4" w:space="0" w:color="auto"/>
              <w:left w:val="nil"/>
              <w:bottom w:val="nil"/>
              <w:right w:val="nil"/>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r w:rsidRPr="00D05B9E">
              <w:rPr>
                <w:rFonts w:ascii="Trebuchet MS" w:hAnsi="Trebuchet MS"/>
                <w:b/>
                <w:bCs/>
                <w:i/>
                <w:iCs/>
                <w:color w:val="000000"/>
                <w:lang w:eastAsia="es-MX"/>
              </w:rPr>
              <w:t xml:space="preserve">Impuesto Sobre Nomina  </w:t>
            </w:r>
          </w:p>
        </w:tc>
        <w:tc>
          <w:tcPr>
            <w:tcW w:w="1333" w:type="dxa"/>
            <w:tcBorders>
              <w:top w:val="single" w:sz="4" w:space="0" w:color="auto"/>
              <w:left w:val="nil"/>
              <w:bottom w:val="nil"/>
              <w:right w:val="nil"/>
            </w:tcBorders>
            <w:shd w:val="clear" w:color="auto" w:fill="auto"/>
            <w:noWrap/>
            <w:vAlign w:val="bottom"/>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rPr>
                <w:rFonts w:ascii="Trebuchet MS" w:hAnsi="Trebuchet MS"/>
                <w:b/>
                <w:bCs/>
                <w:i/>
                <w:iCs/>
                <w:color w:val="000000"/>
                <w:lang w:eastAsia="es-MX"/>
              </w:rPr>
            </w:pPr>
            <w:r w:rsidRPr="00D05B9E">
              <w:rPr>
                <w:rFonts w:ascii="Trebuchet MS" w:hAnsi="Trebuchet MS"/>
                <w:color w:val="000000"/>
                <w:sz w:val="16"/>
                <w:szCs w:val="16"/>
                <w:lang w:eastAsia="es-MX"/>
              </w:rPr>
              <w:t>--Impuesto sobre nomina</w:t>
            </w:r>
          </w:p>
        </w:tc>
        <w:tc>
          <w:tcPr>
            <w:tcW w:w="1333" w:type="dxa"/>
            <w:tcBorders>
              <w:top w:val="single" w:sz="4" w:space="0" w:color="auto"/>
              <w:left w:val="nil"/>
              <w:bottom w:val="single" w:sz="4" w:space="0" w:color="auto"/>
              <w:right w:val="single" w:sz="4" w:space="0" w:color="auto"/>
            </w:tcBorders>
            <w:shd w:val="clear" w:color="auto" w:fill="auto"/>
            <w:noWrap/>
            <w:vAlign w:val="center"/>
          </w:tcPr>
          <w:p w:rsidR="00D05B9E" w:rsidRPr="00D05B9E" w:rsidRDefault="00D05B9E" w:rsidP="00D05B9E">
            <w:pPr>
              <w:spacing w:after="0" w:line="240" w:lineRule="auto"/>
              <w:jc w:val="right"/>
              <w:rPr>
                <w:rFonts w:ascii="Trebuchet MS" w:hAnsi="Trebuchet MS"/>
                <w:b/>
                <w:color w:val="000000"/>
                <w:lang w:eastAsia="es-MX"/>
              </w:rPr>
            </w:pPr>
            <w:r w:rsidRPr="00D05B9E">
              <w:rPr>
                <w:rFonts w:ascii="Trebuchet MS" w:hAnsi="Trebuchet MS"/>
                <w:color w:val="000000"/>
                <w:sz w:val="16"/>
                <w:szCs w:val="16"/>
                <w:lang w:eastAsia="es-MX"/>
              </w:rPr>
              <w:t>6,427,137</w:t>
            </w:r>
          </w:p>
        </w:tc>
      </w:tr>
      <w:tr w:rsidR="00D05B9E" w:rsidRPr="00D05B9E" w:rsidTr="00EB03DE">
        <w:trPr>
          <w:trHeight w:val="57"/>
        </w:trPr>
        <w:tc>
          <w:tcPr>
            <w:tcW w:w="5408" w:type="dxa"/>
            <w:tcBorders>
              <w:top w:val="single" w:sz="4" w:space="0" w:color="auto"/>
              <w:left w:val="nil"/>
              <w:bottom w:val="nil"/>
              <w:right w:val="nil"/>
            </w:tcBorders>
            <w:shd w:val="clear" w:color="auto" w:fill="auto"/>
            <w:noWrap/>
            <w:vAlign w:val="center"/>
            <w:hideMark/>
          </w:tcPr>
          <w:p w:rsidR="00D05B9E" w:rsidRPr="00D05B9E" w:rsidRDefault="00D05B9E" w:rsidP="00D05B9E">
            <w:pPr>
              <w:spacing w:after="0" w:line="240" w:lineRule="auto"/>
              <w:rPr>
                <w:rFonts w:ascii="Trebuchet MS" w:hAnsi="Trebuchet MS"/>
                <w:b/>
                <w:bCs/>
                <w:i/>
                <w:iCs/>
                <w:color w:val="000000"/>
                <w:lang w:eastAsia="es-MX"/>
              </w:rPr>
            </w:pPr>
          </w:p>
        </w:tc>
        <w:tc>
          <w:tcPr>
            <w:tcW w:w="1333" w:type="dxa"/>
            <w:tcBorders>
              <w:top w:val="single" w:sz="4" w:space="0" w:color="auto"/>
              <w:left w:val="nil"/>
              <w:bottom w:val="nil"/>
              <w:right w:val="nil"/>
            </w:tcBorders>
            <w:shd w:val="clear" w:color="auto" w:fill="auto"/>
            <w:noWrap/>
            <w:vAlign w:val="bottom"/>
            <w:hideMark/>
          </w:tcPr>
          <w:p w:rsidR="00D05B9E" w:rsidRPr="00D05B9E" w:rsidRDefault="00D05B9E" w:rsidP="00D05B9E">
            <w:pPr>
              <w:spacing w:after="0" w:line="240" w:lineRule="auto"/>
              <w:jc w:val="right"/>
              <w:rPr>
                <w:rFonts w:ascii="Trebuchet MS" w:hAnsi="Trebuchet MS"/>
                <w:color w:val="000000"/>
                <w:sz w:val="16"/>
                <w:szCs w:val="16"/>
                <w:lang w:eastAsia="es-MX"/>
              </w:rPr>
            </w:pPr>
          </w:p>
        </w:tc>
      </w:tr>
      <w:tr w:rsidR="00D05B9E" w:rsidRPr="00D05B9E" w:rsidTr="00EB03DE">
        <w:trPr>
          <w:trHeight w:val="54"/>
        </w:trPr>
        <w:tc>
          <w:tcPr>
            <w:tcW w:w="5408" w:type="dxa"/>
            <w:tcBorders>
              <w:top w:val="single" w:sz="4" w:space="0" w:color="auto"/>
              <w:left w:val="nil"/>
              <w:bottom w:val="nil"/>
              <w:right w:val="nil"/>
            </w:tcBorders>
            <w:shd w:val="clear" w:color="auto" w:fill="auto"/>
            <w:noWrap/>
            <w:vAlign w:val="center"/>
          </w:tcPr>
          <w:p w:rsidR="00D05B9E" w:rsidRPr="00D05B9E" w:rsidRDefault="00D05B9E" w:rsidP="00D05B9E">
            <w:pPr>
              <w:spacing w:after="0" w:line="240" w:lineRule="auto"/>
              <w:rPr>
                <w:rFonts w:ascii="Trebuchet MS" w:hAnsi="Trebuchet MS"/>
                <w:b/>
                <w:bCs/>
                <w:i/>
                <w:iCs/>
                <w:color w:val="000000"/>
                <w:lang w:eastAsia="es-MX"/>
              </w:rPr>
            </w:pPr>
            <w:r w:rsidRPr="00D05B9E">
              <w:rPr>
                <w:rFonts w:ascii="Trebuchet MS" w:hAnsi="Trebuchet MS"/>
                <w:b/>
                <w:bCs/>
                <w:i/>
                <w:iCs/>
                <w:color w:val="000000"/>
                <w:lang w:eastAsia="es-MX"/>
              </w:rPr>
              <w:t xml:space="preserve">SUMA                                                             </w:t>
            </w:r>
          </w:p>
        </w:tc>
        <w:tc>
          <w:tcPr>
            <w:tcW w:w="1333" w:type="dxa"/>
            <w:tcBorders>
              <w:top w:val="single" w:sz="4" w:space="0" w:color="auto"/>
              <w:left w:val="nil"/>
              <w:bottom w:val="nil"/>
              <w:right w:val="nil"/>
            </w:tcBorders>
            <w:shd w:val="clear" w:color="auto" w:fill="auto"/>
            <w:noWrap/>
            <w:vAlign w:val="bottom"/>
          </w:tcPr>
          <w:p w:rsidR="00D05B9E" w:rsidRPr="00D05B9E" w:rsidRDefault="00D05B9E" w:rsidP="00D05B9E">
            <w:pPr>
              <w:spacing w:after="0" w:line="240" w:lineRule="auto"/>
              <w:jc w:val="right"/>
              <w:rPr>
                <w:rFonts w:ascii="Trebuchet MS" w:hAnsi="Trebuchet MS"/>
                <w:b/>
                <w:color w:val="000000"/>
                <w:lang w:eastAsia="es-MX"/>
              </w:rPr>
            </w:pPr>
            <w:r w:rsidRPr="00D05B9E">
              <w:rPr>
                <w:rFonts w:ascii="Trebuchet MS" w:hAnsi="Trebuchet MS"/>
                <w:b/>
                <w:color w:val="000000"/>
                <w:lang w:eastAsia="es-MX"/>
              </w:rPr>
              <w:t>41,174,494</w:t>
            </w:r>
          </w:p>
        </w:tc>
      </w:tr>
      <w:tr w:rsidR="00D05B9E" w:rsidRPr="00D05B9E" w:rsidTr="00EB03DE">
        <w:trPr>
          <w:trHeight w:val="54"/>
        </w:trPr>
        <w:tc>
          <w:tcPr>
            <w:tcW w:w="5408" w:type="dxa"/>
            <w:tcBorders>
              <w:top w:val="single" w:sz="4" w:space="0" w:color="auto"/>
              <w:left w:val="nil"/>
              <w:bottom w:val="nil"/>
              <w:right w:val="nil"/>
            </w:tcBorders>
            <w:shd w:val="clear" w:color="auto" w:fill="auto"/>
            <w:noWrap/>
            <w:vAlign w:val="center"/>
          </w:tcPr>
          <w:p w:rsidR="00D05B9E" w:rsidRPr="00D05B9E" w:rsidRDefault="00D05B9E" w:rsidP="00D05B9E">
            <w:pPr>
              <w:spacing w:after="0" w:line="240" w:lineRule="auto"/>
              <w:rPr>
                <w:rFonts w:ascii="Trebuchet MS" w:hAnsi="Trebuchet MS"/>
                <w:color w:val="000000"/>
                <w:sz w:val="16"/>
                <w:szCs w:val="16"/>
                <w:lang w:eastAsia="es-MX"/>
              </w:rPr>
            </w:pPr>
          </w:p>
        </w:tc>
        <w:tc>
          <w:tcPr>
            <w:tcW w:w="1333" w:type="dxa"/>
            <w:tcBorders>
              <w:top w:val="single" w:sz="4" w:space="0" w:color="auto"/>
              <w:left w:val="nil"/>
              <w:bottom w:val="nil"/>
              <w:right w:val="nil"/>
            </w:tcBorders>
            <w:shd w:val="clear" w:color="auto" w:fill="auto"/>
            <w:noWrap/>
            <w:vAlign w:val="bottom"/>
          </w:tcPr>
          <w:p w:rsidR="00D05B9E" w:rsidRPr="00D05B9E" w:rsidRDefault="00D05B9E" w:rsidP="00D05B9E">
            <w:pPr>
              <w:spacing w:after="0" w:line="240" w:lineRule="auto"/>
              <w:jc w:val="right"/>
              <w:rPr>
                <w:rFonts w:ascii="Trebuchet MS" w:hAnsi="Trebuchet MS"/>
                <w:color w:val="000000"/>
                <w:sz w:val="16"/>
                <w:szCs w:val="16"/>
                <w:lang w:eastAsia="es-MX"/>
              </w:rPr>
            </w:pPr>
          </w:p>
        </w:tc>
      </w:tr>
    </w:tbl>
    <w:p w:rsidR="00D05B9E" w:rsidRP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OTRAS CUENTAS POR PAGAR A CORTO PLAZO</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Subsiste la obligación del pago del préstamo otorgado por parte del Fondo Auxiliar para la Administración de Justicia aprobado por la Junta de Administración, Vigilancia y Disciplina notificado mediante oficio No. </w:t>
      </w:r>
      <w:r w:rsidRPr="00D05B9E">
        <w:rPr>
          <w:rFonts w:ascii="Trebuchet MS" w:hAnsi="Trebuchet MS"/>
          <w:sz w:val="24"/>
          <w:szCs w:val="24"/>
          <w:lang w:val="es-AR"/>
        </w:rPr>
        <w:t>MCVCL/JUNTADMON/3753/2019 para hacer frente a los compromisos de anticipos de aguinaldos del año 2019, como consecuencia del drástico recorte en la asignación de recursos presupuestarios al Tribunal Superior de Justicia en dicho ejercicio fiscal.</w:t>
      </w: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OTRAS PROVISIONES A LARGO PLAZO</w:t>
      </w: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PROVISIÓN POR PAGAR HABER DE RETIRO</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En el Presupuesto de Egresos del ejercicio fiscal 2017 se autorizó una aportación inicial por el importe de $13’546,000 (Trece millones Quinientos Cuarenta y Seis mil pesos), para la creación del Haber de Retiro, mismo que se encuentra sustentado en el Artículo 89 de la Constitución Política del Estado Libre y Soberano de Morelos en sus párrafos sexto, penúltimo y ultimo, así como en la Ley Orgánica del Poder Judicial artículos 26BIS y 26TER. Durante el ejercicio 2017, el poder Judicial  llevo a cabo los actos jurídicos consistentes en la firma de un contrato con la institución bancaria HSBC, para la apertura de una cuenta especifica de inversión número 6464362000, misma que contiene la aportación inicial y los rendimientos generados durante el ejercicio fiscal 2017 los cuales fueron de $463,072 (cuatrocientos sesenta y tres mil setenta y dos pesos), en el ejercicio 2018 se obtuvieron rendimientos por $ 1’091,821 (un millón noventa y un mil ochocientos veintiún pesos) para totalizar un importe de $15’100,893 (quince millones cien mil ochocientos noventa y tres pesos), y los rendimientos generados en el ejercicio fiscal 2019 de $1,211,179( un millón doscientos once mil ciento setenta y nueve pesos) y en el ejercicio 2020 fueron de $937,817(novecientos treinta y siete mil ochocientos diecisiete pesos), y en el ejercicio 2021 $732,208 (setecientos treinta y dos mil doscientos dos pesos), cabe señalar que al Cuarto Trimestre 2022 son de $762,976 (setecientos sesenta y dos mil novecientos setenta y seis pesos), mismos que ya se encuentran provisionados al cierre del presente ejercicio.</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13) FONDOS DE BIENES DE TERCEROS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14) PASIVOS DIFERIDO Y OTROS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 Notas al Estado de Actividades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w:t>
      </w:r>
      <w:r w:rsidRPr="00D05B9E">
        <w:rPr>
          <w:rFonts w:ascii="Trebuchet MS" w:hAnsi="Trebuchet MS"/>
          <w:sz w:val="24"/>
          <w:szCs w:val="24"/>
        </w:rPr>
        <w:tab/>
        <w:t>Ingresos de Gestión</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15) RUBROS DE IMPUESTOS, CUOTAS Y APORTACIONES DE SEGURIDAD SOCIAL, CONTRIBUCIONES DE MEJORAS, DERECHOS PRODUCTOS, APROVECHAMIENTOS, Y DE INGRESOS POR VENTA DE BIENES Y PRESTACIÓN DE SERVICIO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16) RUBROS DE PARTICIAPACIONES, APORTACIONES, CONVENIOS, INCENTIVOS DERIVADOS DE LA COLABORACION FISCAL, FONDOS DISTINTOS DE APORTACIONES, TRANSFERENCIAS, ASIGNACIONES, SUBSIDIOS Y SUBVENCIONES, PENSIONES Y JUBILACIONES:</w:t>
      </w: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Se reciben las ministraciones acumuladas al cierre del Cuarto Trimestre 2022 por un importe de $844’135,910 (ochocientos cuarenta y cuatro millones ciento treinta y cinco mil novecientos diez pesos).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lastRenderedPageBreak/>
        <w:t>NOTA 17) OTROS INGRESOS Y BENEFICIOS VARIOS</w:t>
      </w: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Se recaudó un importe total de $9’191,370 (nueve millones ciento noventa y un mil trescientos setenta pesos), desglosado por concepto de ingresos financieros $6’518,924 (seis millones quinientos dieciocho mil novecientos veinticuatro pesos) derivadas de inversión de disponibilidades financieras. En el rubro de otros ingresos se percibe un importe de $52,089 (cincuenta y dos mil ochenta y nueve pesos). Por reintegro de incapacidades y recuperaciones se recauda la cantidad de $2’620,357 (dos millones seiscientos veinte mil trescientos cincuenta y siete pesos).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II.II</w:t>
      </w:r>
      <w:r w:rsidRPr="00D05B9E">
        <w:rPr>
          <w:rFonts w:ascii="Trebuchet MS" w:hAnsi="Trebuchet MS"/>
          <w:sz w:val="24"/>
          <w:szCs w:val="24"/>
        </w:rPr>
        <w:tab/>
        <w:t>Gastos y Otras Pérdidas: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NOTA 18) GASTOS Y OTRAS PERDIDAS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Toda vez que la función principal del H. Tribunal Superior de Justicia es la impartición y administración de Justicia, en la que el factor sustantivo es el recurso humano, por lo que el rubro principal de gasto corresponde al de Remuneraciones al Personal de Carácter Permanente, en el cierre </w:t>
      </w:r>
      <w:r w:rsidRPr="00D05B9E">
        <w:rPr>
          <w:rFonts w:ascii="Trebuchet MS" w:hAnsi="Trebuchet MS"/>
          <w:spacing w:val="-4"/>
          <w:sz w:val="24"/>
          <w:szCs w:val="24"/>
        </w:rPr>
        <w:t>del Cuarto Trimestre 2022, se erogó</w:t>
      </w:r>
      <w:r w:rsidRPr="00D05B9E">
        <w:rPr>
          <w:rFonts w:ascii="Trebuchet MS" w:hAnsi="Trebuchet MS"/>
          <w:sz w:val="24"/>
          <w:szCs w:val="24"/>
        </w:rPr>
        <w:t xml:space="preserve"> la cantidad de $253’865,812 (doscientos cincuenta y tres millones ochocientos sesenta y cinco mil ochocientos doce pesos); en Remuneraciones Adicionales y Especiales $101’455,016 (ciento un millones cuatrocientos cincuenta y cinco mil dieciséis pesos); Remuneraciones al personal de carácter transitorio $ 11,062 (once mil sesenta y dos pesos ), en Seguridad Social $69’789,054 (sesenta y nueve millones setecientos ochenta y nueve mil cincuenta y cuatro pesos); en Otras Prestaciones Sociales y Económicas $82’437,699 (ochenta y dos millones cuatrocientos treinta y siete mil seiscientos noventa y nueve pesos); en Pago de Estímulos $1,909,002 (un millón novecientos nueve mil dos pesos), dichos gastos en el rubro de </w:t>
      </w:r>
      <w:r w:rsidRPr="00D05B9E">
        <w:rPr>
          <w:rFonts w:ascii="Trebuchet MS" w:hAnsi="Trebuchet MS"/>
          <w:b/>
          <w:sz w:val="24"/>
          <w:szCs w:val="24"/>
        </w:rPr>
        <w:t>Servicios Personales</w:t>
      </w:r>
      <w:r w:rsidRPr="00D05B9E">
        <w:rPr>
          <w:rFonts w:ascii="Trebuchet MS" w:hAnsi="Trebuchet MS"/>
          <w:sz w:val="24"/>
          <w:szCs w:val="24"/>
        </w:rPr>
        <w:t xml:space="preserve"> representan aproximadamente el 63% del total de erogaciones de gastos.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En el rubro de </w:t>
      </w:r>
      <w:r w:rsidRPr="00D05B9E">
        <w:rPr>
          <w:rFonts w:ascii="Trebuchet MS" w:hAnsi="Trebuchet MS"/>
          <w:b/>
          <w:sz w:val="24"/>
          <w:szCs w:val="24"/>
        </w:rPr>
        <w:t>Materiales y Suministros</w:t>
      </w:r>
      <w:r w:rsidRPr="00D05B9E">
        <w:rPr>
          <w:rFonts w:ascii="Trebuchet MS" w:hAnsi="Trebuchet MS"/>
          <w:sz w:val="24"/>
          <w:szCs w:val="24"/>
        </w:rPr>
        <w:t xml:space="preserve"> el gasto correspondió a $20’845,604 (veinte millones ochocientos cuarenta y cinco mil seiscientos cuatro pesos), en Materiales de Administración se erogó la cantidad de $6’639,787 (seis millones seiscientos treinta y nueve mil setecientos ochenta y siete pesos); en Alimentos y Utensilios $1,578,922 (un millón quinientos setenta y ocho mil novecientos veintidós pesos); en Materiales y Artículos de Construcción y Reparación $1,565,785 (un millón quinientos sesenta y cinco mil setecientos ochenta y cinco pesos); en Productos Químicos y Farmacéuticos $117,722 (cientos diecisiete mil setecientos veintidós pesos); en Combustible Lubricantes y aditivos $6’585,182 (seis millones quinientos ochenta y cinco mil ciento ochenta y dos pesos); en Vestuario, Blancos y Prendas de Protección $2,595,070 (dos millones quinientos noventa y cinco mil setenta pesos); en Herramientas, Refacciones y Accesorios se erogó la cantidad de $1,763,136 (un millón setecientos sesenta y tres mil ciento treinta y seis pesos); siendo el rubro más significativo el que se erogó por concepto de Materiales de Administración se erogó la cantidad de $6’639,787 (seis millones seiscientos treinta y nueve mil setecientos ochenta y siete pesos).</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lastRenderedPageBreak/>
        <w:t xml:space="preserve">El rubro de </w:t>
      </w:r>
      <w:r w:rsidRPr="00D05B9E">
        <w:rPr>
          <w:rFonts w:ascii="Trebuchet MS" w:hAnsi="Trebuchet MS"/>
          <w:b/>
          <w:sz w:val="24"/>
          <w:szCs w:val="24"/>
        </w:rPr>
        <w:t>Servicios Generales</w:t>
      </w:r>
      <w:r w:rsidRPr="00D05B9E">
        <w:rPr>
          <w:rFonts w:ascii="Trebuchet MS" w:hAnsi="Trebuchet MS"/>
          <w:sz w:val="24"/>
          <w:szCs w:val="24"/>
        </w:rPr>
        <w:t xml:space="preserve"> ascendió a $67,120,312 (sesenta y siete millones ciento veinte mil trescientos doce pesos), en Servicios Básicos se erogó $8,766,207 (ocho millones setecientos sesenta y seis mil doscientos siete pesos); en Servicios de Arrendamiento $3,384,425 (tres millones trescientos ochenta y cuatro mil cuatrocientos veinticinco pesos); en Servicios Profesionales $1,930,220 (un millón novecientos treinta mil doscientos veinte pesos); en Servicios Financieros, Bancarios y Comerciales $528,654 (quinientos veintiocho mil seiscientos cincuenta y cuatro pesos); en servicios de instalación y reparación  $2,511,070 (dos millones quinientos once mil setenta pesos); en servicios de comunicación social y publicidad $72,947 (setenta y dos mil novecientos cuarenta y siete pesos); en servicios  de Traslado y Viáticos $259,396 (doscientos cincuenta y nueve mil trescientos noventa y seis pesos); otros servicios oficiales la cantidad de $188,899 (cientos ochenta y ocho mil ochocientos noventa y nueve pesos), finalmente otros servicios generales por la cantidad de $49,478,494 (cuarenta y nueve millones cuatrocientos setenta y ocho mil cuatrocientos noventa y cuatro pesos).</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El gasto por concepto de </w:t>
      </w:r>
      <w:r w:rsidRPr="00D05B9E">
        <w:rPr>
          <w:rFonts w:ascii="Trebuchet MS" w:hAnsi="Trebuchet MS"/>
          <w:b/>
          <w:sz w:val="24"/>
          <w:szCs w:val="24"/>
        </w:rPr>
        <w:t>Transferencias, Asignaciones, Subsidios y Otras Ayudas</w:t>
      </w:r>
      <w:r w:rsidRPr="00D05B9E">
        <w:rPr>
          <w:rFonts w:ascii="Trebuchet MS" w:hAnsi="Trebuchet MS"/>
          <w:sz w:val="24"/>
          <w:szCs w:val="24"/>
        </w:rPr>
        <w:t xml:space="preserve"> fue por un importe de $195’706,150 (ciento noventa y cinco millones setecientos seis mil ciento cincuenta pesos), en transferencia al sector publico $13,000 (trece mil pesos), Pensiones y Jubilaciones $195’693,150 (ciento noventa y cinco millones seiscientos noventa y tres mil ciento cincuenta pesos).</w:t>
      </w:r>
    </w:p>
    <w:p w:rsidR="00D05B9E" w:rsidRPr="00D05B9E" w:rsidRDefault="00D05B9E" w:rsidP="00D05B9E">
      <w:pPr>
        <w:spacing w:after="0" w:line="240" w:lineRule="auto"/>
        <w:contextualSpacing/>
        <w:jc w:val="both"/>
        <w:rPr>
          <w:rFonts w:ascii="Trebuchet MS" w:eastAsia="Times New Roman" w:hAnsi="Trebuchet MS" w:cs="Arial"/>
          <w:sz w:val="24"/>
          <w:szCs w:val="24"/>
          <w:lang w:eastAsia="es-ES"/>
        </w:rPr>
      </w:pPr>
    </w:p>
    <w:p w:rsidR="00D05B9E" w:rsidRPr="00D05B9E" w:rsidRDefault="00D05B9E" w:rsidP="00D05B9E">
      <w:pPr>
        <w:spacing w:after="0" w:line="240" w:lineRule="auto"/>
        <w:contextualSpacing/>
        <w:jc w:val="both"/>
        <w:rPr>
          <w:rFonts w:ascii="Trebuchet MS" w:eastAsia="Calibri" w:hAnsi="Trebuchet MS" w:cs="Arial"/>
          <w:b/>
          <w:sz w:val="24"/>
          <w:szCs w:val="24"/>
        </w:rPr>
      </w:pPr>
      <w:r w:rsidRPr="00D05B9E">
        <w:rPr>
          <w:rFonts w:ascii="Trebuchet MS" w:eastAsia="Times New Roman" w:hAnsi="Trebuchet MS" w:cs="Arial"/>
          <w:sz w:val="24"/>
          <w:szCs w:val="24"/>
          <w:lang w:val="es-ES" w:eastAsia="es-ES"/>
        </w:rPr>
        <w:t>II.III NOTAS AL ESTADO DE VARIACIÓN EN LA HACIENDA PÚBLICA</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 xml:space="preserve">NOTA 19) MODIFICACIONES AL PATRIMONIO CONTRIBUIDO: </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El patrimonio de la Entidad está constituido los siguientes conceptos:</w:t>
      </w:r>
    </w:p>
    <w:p w:rsidR="00D05B9E" w:rsidRPr="00D05B9E" w:rsidRDefault="00D05B9E" w:rsidP="00D05B9E">
      <w:pPr>
        <w:numPr>
          <w:ilvl w:val="0"/>
          <w:numId w:val="1"/>
        </w:num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Las Aportaciones que reciba del Gobierno Estatal</w:t>
      </w:r>
    </w:p>
    <w:p w:rsidR="00D05B9E" w:rsidRPr="00D05B9E" w:rsidRDefault="00D05B9E" w:rsidP="00D05B9E">
      <w:pPr>
        <w:numPr>
          <w:ilvl w:val="0"/>
          <w:numId w:val="1"/>
        </w:num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Los Ingresos provenientes de su operación y los que perciba por la realización de sus actividades</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NOTA 20) MODIFICACIONES AL PATRIMONIO GENERADO:</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Resultado del ejercicio: Ahorro/Desahorro</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Es el resultado de la actualización total de la entidad durante el periodo y está representado por el Resultado del Ejercicio: Ahorro/Desahorro, por un importe de $50’003,188 (cincuenta millones tres mil ciento ochenta y ocho pesos), para el periodo que se informa ejercicio 2022.</w:t>
      </w:r>
      <w:r w:rsidRPr="00D05B9E">
        <w:rPr>
          <w:rFonts w:ascii="Soberana Sans Light" w:eastAsia="Times New Roman" w:hAnsi="Soberana Sans Light" w:cs="Arial"/>
          <w:noProof/>
          <w:sz w:val="18"/>
          <w:szCs w:val="20"/>
          <w:lang w:val="es-ES" w:eastAsia="es-MX"/>
        </w:rPr>
        <w:t xml:space="preserve"> </w:t>
      </w:r>
      <w:r w:rsidRPr="00D05B9E">
        <w:rPr>
          <w:rFonts w:ascii="Soberana Sans Light" w:eastAsia="Times New Roman" w:hAnsi="Soberana Sans Light" w:cs="Arial"/>
          <w:noProof/>
          <w:sz w:val="18"/>
          <w:szCs w:val="20"/>
          <w:lang w:val="es-ES" w:eastAsia="es-MX"/>
        </w:rPr>
        <mc:AlternateContent>
          <mc:Choice Requires="wps">
            <w:drawing>
              <wp:anchor distT="0" distB="0" distL="114300" distR="114300" simplePos="0" relativeHeight="251688960" behindDoc="0" locked="0" layoutInCell="1" allowOverlap="1" wp14:anchorId="2B6CB5CF" wp14:editId="0487A01E">
                <wp:simplePos x="0" y="0"/>
                <wp:positionH relativeFrom="column">
                  <wp:posOffset>-634365</wp:posOffset>
                </wp:positionH>
                <wp:positionV relativeFrom="paragraph">
                  <wp:posOffset>-7217410</wp:posOffset>
                </wp:positionV>
                <wp:extent cx="7505700" cy="0"/>
                <wp:effectExtent l="0" t="0" r="19050" b="19050"/>
                <wp:wrapNone/>
                <wp:docPr id="57" name="57 Conector recto"/>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57 Conector recto"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568.3pt" to="541.05pt,-5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" strokecolor="#0070c0" strokeweight="1.5pt"/>
            </w:pict>
          </mc:Fallback>
        </mc:AlternateConten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Resultado de Ejercicios Anteriores</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Al 31 de Diciembre 2022 el saldo acumulado que incluye el resultado del ejercicio, asciende a $50’003,188 (cincuenta millones tres mil ciento ochenta y ocho pesos).</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II.IV  NOTAS AL ESTADO DE FLUJOS DE EFECTIVO</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NOTA 21) EFECTIVO Y EQUIVALENTES:</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tbl>
      <w:tblPr>
        <w:tblW w:w="5700" w:type="dxa"/>
        <w:tblInd w:w="1531" w:type="dxa"/>
        <w:tblCellMar>
          <w:left w:w="70" w:type="dxa"/>
          <w:right w:w="70" w:type="dxa"/>
        </w:tblCellMar>
        <w:tblLook w:val="04A0" w:firstRow="1" w:lastRow="0" w:firstColumn="1" w:lastColumn="0" w:noHBand="0" w:noVBand="1"/>
      </w:tblPr>
      <w:tblGrid>
        <w:gridCol w:w="2780"/>
        <w:gridCol w:w="1611"/>
        <w:gridCol w:w="1309"/>
      </w:tblGrid>
      <w:tr w:rsidR="00D05B9E" w:rsidRPr="00D05B9E" w:rsidTr="00EB03DE">
        <w:trPr>
          <w:trHeight w:val="173"/>
        </w:trPr>
        <w:tc>
          <w:tcPr>
            <w:tcW w:w="2780" w:type="dxa"/>
            <w:tcBorders>
              <w:top w:val="single" w:sz="8" w:space="0" w:color="auto"/>
              <w:left w:val="single" w:sz="8" w:space="0" w:color="auto"/>
              <w:bottom w:val="single" w:sz="8" w:space="0" w:color="auto"/>
              <w:right w:val="nil"/>
            </w:tcBorders>
            <w:shd w:val="clear" w:color="auto" w:fill="BFBFBF" w:themeFill="background1" w:themeFillShade="BF"/>
            <w:noWrap/>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CONCEPTO</w:t>
            </w:r>
          </w:p>
        </w:tc>
        <w:tc>
          <w:tcPr>
            <w:tcW w:w="1611"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2022</w:t>
            </w:r>
          </w:p>
        </w:tc>
        <w:tc>
          <w:tcPr>
            <w:tcW w:w="1309" w:type="dxa"/>
            <w:tcBorders>
              <w:top w:val="single" w:sz="8" w:space="0" w:color="auto"/>
              <w:left w:val="nil"/>
              <w:bottom w:val="single" w:sz="8" w:space="0" w:color="auto"/>
              <w:right w:val="single" w:sz="8" w:space="0" w:color="auto"/>
            </w:tcBorders>
            <w:shd w:val="clear" w:color="auto" w:fill="BFBFBF" w:themeFill="background1" w:themeFillShade="BF"/>
            <w:noWrap/>
            <w:hideMark/>
          </w:tcPr>
          <w:p w:rsidR="00D05B9E" w:rsidRPr="00D05B9E" w:rsidRDefault="00D05B9E" w:rsidP="00D05B9E">
            <w:pPr>
              <w:spacing w:after="0" w:line="240" w:lineRule="auto"/>
              <w:jc w:val="center"/>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2021</w:t>
            </w:r>
          </w:p>
        </w:tc>
      </w:tr>
      <w:tr w:rsidR="00D05B9E" w:rsidRPr="00D05B9E" w:rsidTr="00EB03DE">
        <w:trPr>
          <w:trHeight w:val="188"/>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Efectivo en Bancos – Tesorería</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ind w:left="780"/>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xml:space="preserve">550,958 </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xml:space="preserve">        8,578,733 </w:t>
            </w:r>
          </w:p>
        </w:tc>
      </w:tr>
      <w:tr w:rsidR="00D05B9E" w:rsidRPr="00D05B9E" w:rsidTr="00EB03DE">
        <w:trPr>
          <w:trHeight w:val="263"/>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Efectivo en Bancos – Dependencias</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65"/>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Inversiones Temporales (hasta 3 meses)</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92"/>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Fondos con Afectación Especifica</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84"/>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Depósitos de Fondos de Terceros y Otros</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r w:rsidR="00D05B9E" w:rsidRPr="00D05B9E" w:rsidTr="00EB03DE">
        <w:trPr>
          <w:trHeight w:val="184"/>
        </w:trPr>
        <w:tc>
          <w:tcPr>
            <w:tcW w:w="2780"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Total de Efectivo y Equivalentes</w:t>
            </w:r>
          </w:p>
        </w:tc>
        <w:tc>
          <w:tcPr>
            <w:tcW w:w="1611" w:type="dxa"/>
            <w:tcBorders>
              <w:top w:val="nil"/>
              <w:left w:val="nil"/>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 xml:space="preserve">                   550,958</w:t>
            </w:r>
          </w:p>
        </w:tc>
        <w:tc>
          <w:tcPr>
            <w:tcW w:w="1309"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b/>
                <w:bCs/>
                <w:color w:val="000000"/>
                <w:sz w:val="14"/>
                <w:szCs w:val="14"/>
                <w:lang w:eastAsia="es-MX"/>
              </w:rPr>
            </w:pPr>
            <w:r w:rsidRPr="00D05B9E">
              <w:rPr>
                <w:rFonts w:ascii="Trebuchet MS" w:hAnsi="Trebuchet MS" w:cs="Tahoma"/>
                <w:b/>
                <w:bCs/>
                <w:color w:val="000000"/>
                <w:sz w:val="14"/>
                <w:szCs w:val="14"/>
                <w:lang w:eastAsia="es-MX"/>
              </w:rPr>
              <w:t xml:space="preserve">       8,578,333 </w:t>
            </w:r>
          </w:p>
        </w:tc>
      </w:tr>
      <w:tr w:rsidR="00D05B9E" w:rsidRPr="00D05B9E" w:rsidTr="00EB03DE">
        <w:trPr>
          <w:trHeight w:val="177"/>
        </w:trPr>
        <w:tc>
          <w:tcPr>
            <w:tcW w:w="2780" w:type="dxa"/>
            <w:tcBorders>
              <w:top w:val="nil"/>
              <w:left w:val="single" w:sz="8" w:space="0" w:color="auto"/>
              <w:bottom w:val="single" w:sz="8"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611" w:type="dxa"/>
            <w:tcBorders>
              <w:top w:val="nil"/>
              <w:left w:val="nil"/>
              <w:bottom w:val="single" w:sz="8"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c>
          <w:tcPr>
            <w:tcW w:w="1309" w:type="dxa"/>
            <w:tcBorders>
              <w:top w:val="nil"/>
              <w:left w:val="nil"/>
              <w:bottom w:val="single" w:sz="8"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4"/>
                <w:szCs w:val="14"/>
                <w:lang w:eastAsia="es-MX"/>
              </w:rPr>
            </w:pPr>
            <w:r w:rsidRPr="00D05B9E">
              <w:rPr>
                <w:rFonts w:ascii="Trebuchet MS" w:hAnsi="Trebuchet MS" w:cs="Tahoma"/>
                <w:color w:val="000000"/>
                <w:sz w:val="14"/>
                <w:szCs w:val="14"/>
                <w:lang w:eastAsia="es-MX"/>
              </w:rPr>
              <w:t> </w:t>
            </w:r>
          </w:p>
        </w:tc>
      </w:tr>
    </w:tbl>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r w:rsidRPr="00D05B9E">
        <w:rPr>
          <w:rFonts w:ascii="Trebuchet MS" w:eastAsia="Times New Roman" w:hAnsi="Trebuchet MS" w:cs="Arial"/>
          <w:sz w:val="24"/>
          <w:szCs w:val="24"/>
          <w:lang w:val="es-ES" w:eastAsia="es-ES"/>
        </w:rPr>
        <w:t>NOTA 22) ADQUISICIONES DE BIENES MUEBLES E INMUEBLES</w:t>
      </w: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tbl>
      <w:tblPr>
        <w:tblW w:w="6272" w:type="dxa"/>
        <w:tblInd w:w="1242" w:type="dxa"/>
        <w:tblCellMar>
          <w:left w:w="70" w:type="dxa"/>
          <w:right w:w="70" w:type="dxa"/>
        </w:tblCellMar>
        <w:tblLook w:val="04A0" w:firstRow="1" w:lastRow="0" w:firstColumn="1" w:lastColumn="0" w:noHBand="0" w:noVBand="1"/>
      </w:tblPr>
      <w:tblGrid>
        <w:gridCol w:w="4357"/>
        <w:gridCol w:w="1915"/>
      </w:tblGrid>
      <w:tr w:rsidR="00D05B9E" w:rsidRPr="00D05B9E" w:rsidTr="00EB03DE">
        <w:trPr>
          <w:trHeight w:val="490"/>
        </w:trPr>
        <w:tc>
          <w:tcPr>
            <w:tcW w:w="4357" w:type="dxa"/>
            <w:tcBorders>
              <w:top w:val="single" w:sz="8" w:space="0" w:color="auto"/>
              <w:left w:val="single" w:sz="8" w:space="0" w:color="auto"/>
              <w:bottom w:val="single" w:sz="8" w:space="0" w:color="auto"/>
              <w:right w:val="single" w:sz="8" w:space="0" w:color="auto"/>
            </w:tcBorders>
            <w:shd w:val="clear" w:color="auto" w:fill="BFBFBF" w:themeFill="background1" w:themeFillShade="BF"/>
            <w:noWrap/>
            <w:vAlign w:val="center"/>
            <w:hideMark/>
          </w:tcPr>
          <w:p w:rsidR="00D05B9E" w:rsidRPr="00D05B9E" w:rsidRDefault="00D05B9E" w:rsidP="00D05B9E">
            <w:pPr>
              <w:spacing w:after="0" w:line="240" w:lineRule="auto"/>
              <w:jc w:val="center"/>
              <w:rPr>
                <w:rFonts w:ascii="Trebuchet MS" w:hAnsi="Trebuchet MS" w:cs="Tahoma"/>
                <w:b/>
                <w:bCs/>
                <w:color w:val="000000"/>
                <w:sz w:val="12"/>
                <w:szCs w:val="12"/>
                <w:lang w:eastAsia="es-MX"/>
              </w:rPr>
            </w:pPr>
            <w:r w:rsidRPr="00D05B9E">
              <w:rPr>
                <w:rFonts w:ascii="Trebuchet MS" w:hAnsi="Trebuchet MS" w:cs="Tahoma"/>
                <w:b/>
                <w:bCs/>
                <w:color w:val="000000"/>
                <w:sz w:val="12"/>
                <w:szCs w:val="12"/>
                <w:lang w:eastAsia="es-MX"/>
              </w:rPr>
              <w:t>BIENES MUEBLES E INMUEBLES</w:t>
            </w:r>
          </w:p>
        </w:tc>
        <w:tc>
          <w:tcPr>
            <w:tcW w:w="1915" w:type="dxa"/>
            <w:tcBorders>
              <w:top w:val="single" w:sz="8" w:space="0" w:color="auto"/>
              <w:left w:val="nil"/>
              <w:bottom w:val="single" w:sz="8" w:space="0" w:color="auto"/>
              <w:right w:val="single" w:sz="8" w:space="0" w:color="auto"/>
            </w:tcBorders>
            <w:shd w:val="clear" w:color="auto" w:fill="BFBFBF" w:themeFill="background1" w:themeFillShade="BF"/>
            <w:hideMark/>
          </w:tcPr>
          <w:p w:rsidR="00D05B9E" w:rsidRPr="00D05B9E" w:rsidRDefault="00D05B9E" w:rsidP="00D05B9E">
            <w:pPr>
              <w:spacing w:after="0" w:line="240" w:lineRule="auto"/>
              <w:jc w:val="center"/>
              <w:rPr>
                <w:rFonts w:ascii="Trebuchet MS" w:hAnsi="Trebuchet MS" w:cs="Tahoma"/>
                <w:b/>
                <w:bCs/>
                <w:color w:val="000000"/>
                <w:sz w:val="12"/>
                <w:szCs w:val="12"/>
                <w:lang w:eastAsia="es-MX"/>
              </w:rPr>
            </w:pPr>
          </w:p>
          <w:p w:rsidR="00D05B9E" w:rsidRPr="00D05B9E" w:rsidRDefault="00D05B9E" w:rsidP="00D05B9E">
            <w:pPr>
              <w:spacing w:after="0" w:line="240" w:lineRule="auto"/>
              <w:jc w:val="center"/>
              <w:rPr>
                <w:rFonts w:ascii="Trebuchet MS" w:hAnsi="Trebuchet MS" w:cs="Tahoma"/>
                <w:b/>
                <w:bCs/>
                <w:color w:val="000000"/>
                <w:sz w:val="12"/>
                <w:szCs w:val="12"/>
                <w:lang w:eastAsia="es-MX"/>
              </w:rPr>
            </w:pPr>
            <w:r w:rsidRPr="00D05B9E">
              <w:rPr>
                <w:rFonts w:ascii="Trebuchet MS" w:hAnsi="Trebuchet MS" w:cs="Tahoma"/>
                <w:b/>
                <w:bCs/>
                <w:color w:val="000000"/>
                <w:sz w:val="12"/>
                <w:szCs w:val="12"/>
                <w:lang w:eastAsia="es-MX"/>
              </w:rPr>
              <w:t>IMPORTE DEL 1 DE Enero AL 31 Diciembre 2022</w:t>
            </w:r>
          </w:p>
        </w:tc>
      </w:tr>
      <w:tr w:rsidR="00D05B9E" w:rsidRPr="00D05B9E" w:rsidTr="00EB03DE">
        <w:trPr>
          <w:trHeight w:val="238"/>
        </w:trPr>
        <w:tc>
          <w:tcPr>
            <w:tcW w:w="4357"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Mobiliario y equipo de Administración</w:t>
            </w:r>
          </w:p>
        </w:tc>
        <w:tc>
          <w:tcPr>
            <w:tcW w:w="1915"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xml:space="preserve">                        2,725,584</w:t>
            </w:r>
          </w:p>
        </w:tc>
      </w:tr>
      <w:tr w:rsidR="00D05B9E" w:rsidRPr="00D05B9E" w:rsidTr="00EB03DE">
        <w:trPr>
          <w:trHeight w:val="238"/>
        </w:trPr>
        <w:tc>
          <w:tcPr>
            <w:tcW w:w="4357"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Mobiliario y Equipo educacional y recreativo</w:t>
            </w:r>
          </w:p>
          <w:p w:rsidR="00D05B9E" w:rsidRPr="00D05B9E" w:rsidRDefault="00D05B9E" w:rsidP="00D05B9E">
            <w:pPr>
              <w:spacing w:after="0" w:line="240" w:lineRule="auto"/>
              <w:rPr>
                <w:rFonts w:ascii="Trebuchet MS" w:hAnsi="Trebuchet MS" w:cs="Tahoma"/>
                <w:color w:val="000000"/>
                <w:sz w:val="12"/>
                <w:szCs w:val="12"/>
                <w:lang w:eastAsia="es-MX"/>
              </w:rPr>
            </w:pPr>
            <w:proofErr w:type="spellStart"/>
            <w:r w:rsidRPr="00D05B9E">
              <w:rPr>
                <w:rFonts w:ascii="Trebuchet MS" w:hAnsi="Trebuchet MS" w:cs="Tahoma"/>
                <w:color w:val="000000"/>
                <w:sz w:val="12"/>
                <w:szCs w:val="12"/>
                <w:lang w:eastAsia="es-MX"/>
              </w:rPr>
              <w:t>Vehiculos</w:t>
            </w:r>
            <w:proofErr w:type="spellEnd"/>
            <w:r w:rsidRPr="00D05B9E">
              <w:rPr>
                <w:rFonts w:ascii="Trebuchet MS" w:hAnsi="Trebuchet MS" w:cs="Tahoma"/>
                <w:color w:val="000000"/>
                <w:sz w:val="12"/>
                <w:szCs w:val="12"/>
                <w:lang w:eastAsia="es-MX"/>
              </w:rPr>
              <w:t xml:space="preserve"> y Equipo de Transporte</w:t>
            </w:r>
          </w:p>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Maquinaria, Otros equipos y Herramientas</w:t>
            </w:r>
          </w:p>
        </w:tc>
        <w:tc>
          <w:tcPr>
            <w:tcW w:w="1915"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xml:space="preserve">                          166,716</w:t>
            </w:r>
          </w:p>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xml:space="preserve">                        6,053,286</w:t>
            </w:r>
          </w:p>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xml:space="preserve">                           541,119</w:t>
            </w:r>
          </w:p>
        </w:tc>
      </w:tr>
      <w:tr w:rsidR="00D05B9E" w:rsidRPr="00D05B9E" w:rsidTr="00EB03DE">
        <w:trPr>
          <w:trHeight w:val="238"/>
        </w:trPr>
        <w:tc>
          <w:tcPr>
            <w:tcW w:w="4357" w:type="dxa"/>
            <w:tcBorders>
              <w:top w:val="nil"/>
              <w:left w:val="single" w:sz="8" w:space="0" w:color="auto"/>
              <w:bottom w:val="nil"/>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Licencias informáticas e intelectuales</w:t>
            </w:r>
          </w:p>
        </w:tc>
        <w:tc>
          <w:tcPr>
            <w:tcW w:w="1915" w:type="dxa"/>
            <w:tcBorders>
              <w:top w:val="nil"/>
              <w:left w:val="nil"/>
              <w:bottom w:val="nil"/>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xml:space="preserve">                            70,102</w:t>
            </w:r>
          </w:p>
        </w:tc>
      </w:tr>
      <w:tr w:rsidR="00D05B9E" w:rsidRPr="00D05B9E" w:rsidTr="00EB03DE">
        <w:trPr>
          <w:trHeight w:val="238"/>
        </w:trPr>
        <w:tc>
          <w:tcPr>
            <w:tcW w:w="4357" w:type="dxa"/>
            <w:tcBorders>
              <w:top w:val="nil"/>
              <w:left w:val="single" w:sz="8" w:space="0" w:color="auto"/>
              <w:bottom w:val="single" w:sz="8" w:space="0" w:color="auto"/>
              <w:right w:val="nil"/>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w:t>
            </w:r>
          </w:p>
        </w:tc>
        <w:tc>
          <w:tcPr>
            <w:tcW w:w="1915" w:type="dxa"/>
            <w:tcBorders>
              <w:top w:val="nil"/>
              <w:left w:val="nil"/>
              <w:bottom w:val="single" w:sz="8" w:space="0" w:color="auto"/>
              <w:right w:val="single" w:sz="8" w:space="0" w:color="auto"/>
            </w:tcBorders>
            <w:shd w:val="clear" w:color="000000" w:fill="FFFFFF"/>
            <w:noWrap/>
            <w:hideMark/>
          </w:tcPr>
          <w:p w:rsidR="00D05B9E" w:rsidRPr="00D05B9E" w:rsidRDefault="00D05B9E" w:rsidP="00D05B9E">
            <w:pPr>
              <w:spacing w:after="0" w:line="240" w:lineRule="auto"/>
              <w:rPr>
                <w:rFonts w:ascii="Trebuchet MS" w:hAnsi="Trebuchet MS" w:cs="Tahoma"/>
                <w:color w:val="000000"/>
                <w:sz w:val="12"/>
                <w:szCs w:val="12"/>
                <w:lang w:eastAsia="es-MX"/>
              </w:rPr>
            </w:pPr>
            <w:r w:rsidRPr="00D05B9E">
              <w:rPr>
                <w:rFonts w:ascii="Trebuchet MS" w:hAnsi="Trebuchet MS" w:cs="Tahoma"/>
                <w:color w:val="000000"/>
                <w:sz w:val="12"/>
                <w:szCs w:val="12"/>
                <w:lang w:eastAsia="es-MX"/>
              </w:rPr>
              <w:t> </w:t>
            </w:r>
          </w:p>
        </w:tc>
      </w:tr>
    </w:tbl>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Times New Roman" w:hAnsi="Trebuchet MS" w:cs="Arial"/>
          <w:sz w:val="24"/>
          <w:szCs w:val="24"/>
          <w:lang w:val="es-ES" w:eastAsia="es-ES"/>
        </w:rPr>
      </w:pPr>
    </w:p>
    <w:p w:rsidR="00D05B9E" w:rsidRPr="00D05B9E" w:rsidRDefault="00D05B9E" w:rsidP="00D05B9E">
      <w:pPr>
        <w:spacing w:after="0" w:line="240" w:lineRule="auto"/>
        <w:contextualSpacing/>
        <w:jc w:val="both"/>
        <w:rPr>
          <w:rFonts w:ascii="Trebuchet MS" w:eastAsia="Calibri" w:hAnsi="Trebuchet MS" w:cs="Arial"/>
          <w:b/>
          <w:sz w:val="24"/>
          <w:szCs w:val="24"/>
        </w:rPr>
      </w:pPr>
      <w:r w:rsidRPr="00D05B9E">
        <w:rPr>
          <w:rFonts w:ascii="Trebuchet MS" w:eastAsia="Times New Roman" w:hAnsi="Trebuchet MS" w:cs="Arial"/>
          <w:sz w:val="24"/>
          <w:szCs w:val="24"/>
          <w:lang w:val="es-ES" w:eastAsia="es-ES"/>
        </w:rPr>
        <w:t>NOTA</w:t>
      </w:r>
      <w:r w:rsidRPr="00D05B9E">
        <w:rPr>
          <w:rFonts w:ascii="Trebuchet MS" w:eastAsia="Calibri" w:hAnsi="Trebuchet MS" w:cs="Arial"/>
          <w:sz w:val="24"/>
          <w:szCs w:val="24"/>
        </w:rPr>
        <w:t xml:space="preserve"> 23) CONCILIACIÓN DE LOS FLUJOS DE EFECTIVO NETOS DE LAS ACTIVIDADES DE OPERACIÓN Y LA CUENTA DE AHORRO/DESAHORRO ANTES DE RUBROS EXTRAORDINARIOS.</w:t>
      </w:r>
      <w:r w:rsidRPr="00D05B9E">
        <w:rPr>
          <w:rFonts w:ascii="Trebuchet MS" w:eastAsia="Calibri" w:hAnsi="Trebuchet MS" w:cs="Arial"/>
          <w:b/>
          <w:sz w:val="24"/>
          <w:szCs w:val="24"/>
        </w:rPr>
        <w:t xml:space="preserve"> (Sin Información que revelar)</w:t>
      </w: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r w:rsidRPr="00D05B9E">
        <w:rPr>
          <w:rFonts w:ascii="Trebuchet MS" w:eastAsia="Calibri" w:hAnsi="Trebuchet MS" w:cs="Arial"/>
          <w:b/>
          <w:sz w:val="24"/>
          <w:szCs w:val="24"/>
        </w:rPr>
        <w:t>II.V CONCILIACIÓN ENTRE LOS INGRESOS PRESUPUESTARIOS Y CONTABLES, ASÍ COMO ENTRE LOS EGRESOS PRESUPUESTARIOS Y LOS GASTOS CONTABLES</w:t>
      </w:r>
    </w:p>
    <w:p w:rsidR="00D05B9E" w:rsidRPr="00D05B9E" w:rsidRDefault="00D05B9E" w:rsidP="00D05B9E">
      <w:pPr>
        <w:spacing w:after="0" w:line="240" w:lineRule="auto"/>
        <w:contextualSpacing/>
        <w:jc w:val="both"/>
        <w:rPr>
          <w:rFonts w:ascii="Trebuchet MS" w:eastAsia="Calibri" w:hAnsi="Trebuchet MS" w:cs="Arial"/>
          <w:b/>
          <w:sz w:val="24"/>
          <w:szCs w:val="24"/>
        </w:rPr>
      </w:pPr>
      <w:r w:rsidRPr="00D05B9E">
        <w:rPr>
          <w:rFonts w:ascii="Trebuchet MS" w:eastAsia="Times New Roman" w:hAnsi="Trebuchet MS" w:cs="Arial"/>
          <w:b/>
          <w:sz w:val="24"/>
          <w:szCs w:val="24"/>
          <w:lang w:val="es-ES" w:eastAsia="es-ES"/>
        </w:rPr>
        <w:t>NOTA 24)</w:t>
      </w:r>
      <w:r w:rsidRPr="00D05B9E">
        <w:rPr>
          <w:rFonts w:ascii="Trebuchet MS" w:eastAsia="Calibri" w:hAnsi="Trebuchet MS" w:cs="Arial"/>
          <w:b/>
          <w:sz w:val="24"/>
          <w:szCs w:val="24"/>
        </w:rPr>
        <w:t xml:space="preserve"> Conciliación entre los Ingresos Presupuestarios y Contables, así como entre los egresos Presupuestarios y los Gastos Contables:</w:t>
      </w: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Default="00D05B9E" w:rsidP="00D05B9E">
      <w:pPr>
        <w:spacing w:after="0" w:line="240" w:lineRule="auto"/>
        <w:contextualSpacing/>
        <w:jc w:val="both"/>
        <w:rPr>
          <w:rFonts w:ascii="Trebuchet MS" w:eastAsia="Calibri" w:hAnsi="Trebuchet MS" w:cs="Arial"/>
          <w:b/>
          <w:sz w:val="24"/>
          <w:szCs w:val="24"/>
        </w:rPr>
      </w:pPr>
    </w:p>
    <w:p w:rsidR="00D05B9E" w:rsidRDefault="00D05B9E" w:rsidP="00D05B9E">
      <w:pPr>
        <w:spacing w:after="0" w:line="240" w:lineRule="auto"/>
        <w:contextualSpacing/>
        <w:jc w:val="both"/>
        <w:rPr>
          <w:rFonts w:ascii="Trebuchet MS" w:eastAsia="Calibri" w:hAnsi="Trebuchet MS" w:cs="Arial"/>
          <w:b/>
          <w:sz w:val="24"/>
          <w:szCs w:val="24"/>
        </w:rPr>
      </w:pPr>
    </w:p>
    <w:p w:rsid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tabs>
          <w:tab w:val="left" w:pos="2129"/>
        </w:tabs>
        <w:spacing w:after="0" w:line="240" w:lineRule="auto"/>
        <w:contextualSpacing/>
        <w:jc w:val="both"/>
        <w:rPr>
          <w:rFonts w:ascii="Trebuchet MS" w:eastAsia="Calibri" w:hAnsi="Trebuchet MS" w:cs="Arial"/>
          <w:b/>
          <w:color w:val="FFFFFF" w:themeColor="background1"/>
          <w:sz w:val="24"/>
          <w:szCs w:val="24"/>
        </w:rPr>
      </w:pPr>
      <w:r w:rsidRPr="00D05B9E">
        <w:rPr>
          <w:rFonts w:ascii="Trebuchet MS" w:eastAsia="Calibri" w:hAnsi="Trebuchet MS" w:cs="Arial"/>
          <w:b/>
          <w:color w:val="FFFFFF" w:themeColor="background1"/>
          <w:sz w:val="24"/>
          <w:szCs w:val="24"/>
        </w:rPr>
        <w:tab/>
      </w: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p w:rsidR="00D05B9E" w:rsidRPr="00D05B9E" w:rsidRDefault="00D05B9E" w:rsidP="00D05B9E">
      <w:pPr>
        <w:spacing w:after="0" w:line="240" w:lineRule="auto"/>
        <w:contextualSpacing/>
        <w:jc w:val="both"/>
        <w:rPr>
          <w:rFonts w:ascii="Trebuchet MS" w:eastAsia="Calibri" w:hAnsi="Trebuchet MS" w:cs="Arial"/>
          <w:b/>
          <w:sz w:val="24"/>
          <w:szCs w:val="24"/>
        </w:rPr>
      </w:pPr>
    </w:p>
    <w:tbl>
      <w:tblPr>
        <w:tblW w:w="8416" w:type="dxa"/>
        <w:tblInd w:w="367" w:type="dxa"/>
        <w:tblCellMar>
          <w:left w:w="70" w:type="dxa"/>
          <w:right w:w="70" w:type="dxa"/>
        </w:tblCellMar>
        <w:tblLook w:val="04A0" w:firstRow="1" w:lastRow="0" w:firstColumn="1" w:lastColumn="0" w:noHBand="0" w:noVBand="1"/>
      </w:tblPr>
      <w:tblGrid>
        <w:gridCol w:w="1058"/>
        <w:gridCol w:w="201"/>
        <w:gridCol w:w="797"/>
        <w:gridCol w:w="3113"/>
        <w:gridCol w:w="117"/>
        <w:gridCol w:w="941"/>
        <w:gridCol w:w="438"/>
        <w:gridCol w:w="1283"/>
        <w:gridCol w:w="468"/>
      </w:tblGrid>
      <w:tr w:rsidR="00D05B9E" w:rsidRPr="00D05B9E" w:rsidTr="00EB03DE">
        <w:trPr>
          <w:gridAfter w:val="1"/>
          <w:wAfter w:w="468" w:type="dxa"/>
          <w:trHeight w:val="208"/>
        </w:trPr>
        <w:tc>
          <w:tcPr>
            <w:tcW w:w="7948" w:type="dxa"/>
            <w:gridSpan w:val="8"/>
            <w:tcBorders>
              <w:top w:val="single" w:sz="8" w:space="0" w:color="auto"/>
              <w:left w:val="single" w:sz="8" w:space="0" w:color="auto"/>
              <w:bottom w:val="nil"/>
              <w:right w:val="single" w:sz="8" w:space="0" w:color="000000"/>
            </w:tcBorders>
            <w:shd w:val="clear" w:color="000000" w:fill="C0C0C0"/>
            <w:noWrap/>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p>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PODER JUDICIAL DEL ESTADO DE MORELOS - TRIBUNAL SUPERIOR DE JUSTICIA</w:t>
            </w:r>
          </w:p>
        </w:tc>
      </w:tr>
      <w:tr w:rsidR="00D05B9E" w:rsidRPr="00D05B9E" w:rsidTr="00EB03DE">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Conciliación entre los Ingresos Presupuestarios y Contables</w:t>
            </w:r>
          </w:p>
        </w:tc>
      </w:tr>
      <w:tr w:rsidR="00D05B9E" w:rsidRPr="00D05B9E" w:rsidTr="00EB03DE">
        <w:trPr>
          <w:gridAfter w:val="1"/>
          <w:wAfter w:w="468" w:type="dxa"/>
          <w:trHeight w:val="208"/>
        </w:trPr>
        <w:tc>
          <w:tcPr>
            <w:tcW w:w="7948" w:type="dxa"/>
            <w:gridSpan w:val="8"/>
            <w:tcBorders>
              <w:top w:val="nil"/>
              <w:left w:val="single" w:sz="8" w:space="0" w:color="auto"/>
              <w:bottom w:val="nil"/>
              <w:right w:val="single" w:sz="8" w:space="0" w:color="000000"/>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Correspondiente del 01 de Enero al 31 de Diciembre de 2022</w:t>
            </w:r>
          </w:p>
        </w:tc>
      </w:tr>
      <w:tr w:rsidR="00D05B9E" w:rsidRPr="00D05B9E" w:rsidTr="00EB03DE">
        <w:trPr>
          <w:gridAfter w:val="1"/>
          <w:wAfter w:w="468" w:type="dxa"/>
          <w:trHeight w:val="220"/>
        </w:trPr>
        <w:tc>
          <w:tcPr>
            <w:tcW w:w="7948" w:type="dxa"/>
            <w:gridSpan w:val="8"/>
            <w:tcBorders>
              <w:top w:val="nil"/>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(Cifras en pesos)</w:t>
            </w: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both"/>
              <w:rPr>
                <w:rFonts w:ascii="Trebuchet MS" w:hAnsi="Trebuchet MS" w:cs="Arial"/>
                <w:b/>
                <w:bCs/>
                <w:color w:val="000000"/>
                <w:szCs w:val="24"/>
                <w:lang w:eastAsia="es-MX"/>
              </w:rPr>
            </w:pPr>
            <w:r w:rsidRPr="00D05B9E">
              <w:rPr>
                <w:rFonts w:ascii="Trebuchet MS" w:hAnsi="Trebuchet MS" w:cs="Arial"/>
                <w:b/>
                <w:bCs/>
                <w:color w:val="000000"/>
                <w:szCs w:val="24"/>
                <w:lang w:eastAsia="es-MX"/>
              </w:rPr>
              <w:t>1. Ingresos Presupuestarios</w:t>
            </w:r>
          </w:p>
        </w:tc>
        <w:tc>
          <w:tcPr>
            <w:tcW w:w="1058" w:type="dxa"/>
            <w:gridSpan w:val="2"/>
            <w:tcBorders>
              <w:top w:val="nil"/>
              <w:left w:val="nil"/>
              <w:bottom w:val="nil"/>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853,327,280</w:t>
            </w:r>
          </w:p>
        </w:tc>
      </w:tr>
      <w:tr w:rsidR="00D05B9E" w:rsidRPr="00D05B9E" w:rsidTr="00EB03DE">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058" w:type="dxa"/>
            <w:gridSpan w:val="2"/>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b/>
                <w:bCs/>
                <w:color w:val="000000"/>
                <w:szCs w:val="24"/>
                <w:lang w:eastAsia="es-MX"/>
              </w:rPr>
            </w:pPr>
            <w:r w:rsidRPr="00D05B9E">
              <w:rPr>
                <w:rFonts w:ascii="Trebuchet MS" w:hAnsi="Trebuchet MS" w:cs="Arial"/>
                <w:b/>
                <w:bCs/>
                <w:color w:val="000000"/>
                <w:szCs w:val="24"/>
                <w:lang w:eastAsia="es-MX"/>
              </w:rPr>
              <w:t>2. Más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Incremento por variación de inventarios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344"/>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Disminución del exceso de estimaciones por pérdida o deterioro u obsolescencia</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Disminución del exceso de provisiones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Otros ingresos y beneficios varios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Otros ingresos contables no presupuestarios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058"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b/>
                <w:bCs/>
                <w:color w:val="000000"/>
                <w:szCs w:val="24"/>
                <w:lang w:eastAsia="es-MX"/>
              </w:rPr>
            </w:pPr>
            <w:r w:rsidRPr="00D05B9E">
              <w:rPr>
                <w:rFonts w:ascii="Trebuchet MS" w:hAnsi="Trebuchet MS" w:cs="Arial"/>
                <w:b/>
                <w:bCs/>
                <w:color w:val="000000"/>
                <w:szCs w:val="24"/>
                <w:lang w:eastAsia="es-MX"/>
              </w:rPr>
              <w:t>3. Menos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Productos de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Aprovechamientos capital</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1058"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4111" w:type="dxa"/>
            <w:gridSpan w:val="3"/>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Ingresos derivados de financiamientos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Otros Ingresos presupuestarios no contables</w:t>
            </w:r>
          </w:p>
        </w:tc>
        <w:tc>
          <w:tcPr>
            <w:tcW w:w="1058"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0.00</w:t>
            </w:r>
          </w:p>
        </w:tc>
        <w:tc>
          <w:tcPr>
            <w:tcW w:w="172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r>
      <w:tr w:rsidR="00D05B9E" w:rsidRPr="00D05B9E" w:rsidTr="00EB03DE">
        <w:trPr>
          <w:gridAfter w:val="1"/>
          <w:wAfter w:w="468" w:type="dxa"/>
          <w:trHeight w:val="220"/>
        </w:trPr>
        <w:tc>
          <w:tcPr>
            <w:tcW w:w="5169" w:type="dxa"/>
            <w:gridSpan w:val="4"/>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058"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p>
        </w:tc>
        <w:tc>
          <w:tcPr>
            <w:tcW w:w="172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r>
      <w:tr w:rsidR="00D05B9E" w:rsidRPr="00D05B9E" w:rsidTr="00EB03DE">
        <w:trPr>
          <w:gridAfter w:val="1"/>
          <w:wAfter w:w="468" w:type="dxa"/>
          <w:trHeight w:val="220"/>
        </w:trPr>
        <w:tc>
          <w:tcPr>
            <w:tcW w:w="5169" w:type="dxa"/>
            <w:gridSpan w:val="4"/>
            <w:tcBorders>
              <w:top w:val="single" w:sz="8" w:space="0" w:color="auto"/>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both"/>
              <w:rPr>
                <w:rFonts w:ascii="Trebuchet MS" w:hAnsi="Trebuchet MS" w:cs="Arial"/>
                <w:b/>
                <w:bCs/>
                <w:color w:val="000000"/>
                <w:szCs w:val="24"/>
                <w:lang w:eastAsia="es-MX"/>
              </w:rPr>
            </w:pPr>
            <w:r w:rsidRPr="00D05B9E">
              <w:rPr>
                <w:rFonts w:ascii="Trebuchet MS" w:hAnsi="Trebuchet MS" w:cs="Arial"/>
                <w:b/>
                <w:bCs/>
                <w:color w:val="000000"/>
                <w:szCs w:val="24"/>
                <w:lang w:eastAsia="es-MX"/>
              </w:rPr>
              <w:t>4. Ingresos Contables (4 = 1 + 2 - 3)</w:t>
            </w:r>
          </w:p>
        </w:tc>
        <w:tc>
          <w:tcPr>
            <w:tcW w:w="1058" w:type="dxa"/>
            <w:gridSpan w:val="2"/>
            <w:tcBorders>
              <w:top w:val="nil"/>
              <w:left w:val="nil"/>
              <w:bottom w:val="nil"/>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Cs w:val="24"/>
                <w:lang w:eastAsia="es-MX"/>
              </w:rPr>
            </w:pPr>
            <w:r w:rsidRPr="00D05B9E">
              <w:rPr>
                <w:rFonts w:ascii="Trebuchet MS" w:hAnsi="Trebuchet MS" w:cs="Arial"/>
                <w:color w:val="000000"/>
                <w:szCs w:val="24"/>
                <w:lang w:eastAsia="es-MX"/>
              </w:rPr>
              <w:t> </w:t>
            </w:r>
          </w:p>
        </w:tc>
        <w:tc>
          <w:tcPr>
            <w:tcW w:w="1721" w:type="dxa"/>
            <w:gridSpan w:val="2"/>
            <w:tcBorders>
              <w:top w:val="nil"/>
              <w:left w:val="nil"/>
              <w:bottom w:val="single" w:sz="8" w:space="0" w:color="auto"/>
              <w:right w:val="single" w:sz="8" w:space="0" w:color="auto"/>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Cs w:val="24"/>
                <w:lang w:eastAsia="es-MX"/>
              </w:rPr>
            </w:pPr>
            <w:r w:rsidRPr="00D05B9E">
              <w:rPr>
                <w:rFonts w:ascii="Trebuchet MS" w:hAnsi="Trebuchet MS" w:cs="Arial"/>
                <w:b/>
                <w:bCs/>
                <w:color w:val="000000"/>
                <w:szCs w:val="24"/>
                <w:lang w:eastAsia="es-MX"/>
              </w:rPr>
              <w:t>853,327,280</w:t>
            </w:r>
          </w:p>
        </w:tc>
      </w:tr>
      <w:tr w:rsidR="00D05B9E" w:rsidRPr="00D05B9E" w:rsidTr="00EB03DE">
        <w:trPr>
          <w:gridAfter w:val="1"/>
          <w:wAfter w:w="468" w:type="dxa"/>
          <w:trHeight w:val="208"/>
        </w:trPr>
        <w:tc>
          <w:tcPr>
            <w:tcW w:w="1058" w:type="dxa"/>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tc>
      </w:tr>
      <w:tr w:rsidR="00D05B9E" w:rsidRPr="00D05B9E" w:rsidTr="00EB03DE">
        <w:trPr>
          <w:gridAfter w:val="1"/>
          <w:wAfter w:w="468" w:type="dxa"/>
          <w:trHeight w:val="208"/>
        </w:trPr>
        <w:tc>
          <w:tcPr>
            <w:tcW w:w="1058" w:type="dxa"/>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4111" w:type="dxa"/>
            <w:gridSpan w:val="3"/>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1058" w:type="dxa"/>
            <w:gridSpan w:val="2"/>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p w:rsidR="00D05B9E" w:rsidRPr="00D05B9E" w:rsidRDefault="00D05B9E" w:rsidP="00D05B9E">
            <w:pPr>
              <w:spacing w:after="0" w:line="240" w:lineRule="auto"/>
              <w:contextualSpacing/>
              <w:rPr>
                <w:rFonts w:ascii="Trebuchet MS" w:hAnsi="Trebuchet MS" w:cs="Calibri"/>
                <w:color w:val="000000"/>
                <w:szCs w:val="24"/>
                <w:lang w:eastAsia="es-MX"/>
              </w:rPr>
            </w:pPr>
          </w:p>
        </w:tc>
        <w:tc>
          <w:tcPr>
            <w:tcW w:w="1721" w:type="dxa"/>
            <w:gridSpan w:val="2"/>
            <w:tcBorders>
              <w:top w:val="nil"/>
              <w:left w:val="nil"/>
              <w:bottom w:val="nil"/>
              <w:right w:val="nil"/>
            </w:tcBorders>
            <w:shd w:val="clear" w:color="auto" w:fill="auto"/>
            <w:noWrap/>
            <w:vAlign w:val="bottom"/>
          </w:tcPr>
          <w:p w:rsidR="00D05B9E" w:rsidRPr="00D05B9E" w:rsidRDefault="00D05B9E" w:rsidP="00D05B9E">
            <w:pPr>
              <w:spacing w:after="0" w:line="240" w:lineRule="auto"/>
              <w:contextualSpacing/>
              <w:rPr>
                <w:rFonts w:ascii="Trebuchet MS" w:hAnsi="Trebuchet MS" w:cs="Calibri"/>
                <w:color w:val="000000"/>
                <w:szCs w:val="24"/>
                <w:lang w:eastAsia="es-MX"/>
              </w:rPr>
            </w:pPr>
          </w:p>
        </w:tc>
      </w:tr>
      <w:tr w:rsidR="00D05B9E" w:rsidRPr="00D05B9E" w:rsidTr="00EB03DE">
        <w:trPr>
          <w:gridBefore w:val="2"/>
          <w:wBefore w:w="1259" w:type="dxa"/>
          <w:trHeight w:val="257"/>
        </w:trPr>
        <w:tc>
          <w:tcPr>
            <w:tcW w:w="7157" w:type="dxa"/>
            <w:gridSpan w:val="7"/>
            <w:tcBorders>
              <w:top w:val="single" w:sz="8" w:space="0" w:color="auto"/>
              <w:left w:val="single" w:sz="8" w:space="0" w:color="auto"/>
              <w:bottom w:val="nil"/>
              <w:right w:val="single" w:sz="8" w:space="0" w:color="000000"/>
            </w:tcBorders>
            <w:shd w:val="clear" w:color="000000" w:fill="C0C0C0"/>
            <w:noWrap/>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lastRenderedPageBreak/>
              <w:t>PODER JUDICIAL DEL ESTADO DE MORELOS - TRIBUNAL SUPERIOR DE JUSTICIA</w:t>
            </w:r>
          </w:p>
        </w:tc>
      </w:tr>
      <w:tr w:rsidR="00D05B9E" w:rsidRPr="00D05B9E" w:rsidTr="00EB03DE">
        <w:trPr>
          <w:gridBefore w:val="2"/>
          <w:wBefore w:w="1259" w:type="dxa"/>
          <w:trHeight w:val="257"/>
        </w:trPr>
        <w:tc>
          <w:tcPr>
            <w:tcW w:w="7157" w:type="dxa"/>
            <w:gridSpan w:val="7"/>
            <w:tcBorders>
              <w:top w:val="nil"/>
              <w:left w:val="single" w:sz="8" w:space="0" w:color="auto"/>
              <w:bottom w:val="nil"/>
              <w:right w:val="single" w:sz="8" w:space="0" w:color="000000"/>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Conciliación entre los Egresos Presupuestarios y los Gastos Contables</w:t>
            </w:r>
          </w:p>
        </w:tc>
      </w:tr>
      <w:tr w:rsidR="00D05B9E" w:rsidRPr="00D05B9E" w:rsidTr="00EB03DE">
        <w:trPr>
          <w:gridBefore w:val="2"/>
          <w:wBefore w:w="1259" w:type="dxa"/>
          <w:trHeight w:val="270"/>
        </w:trPr>
        <w:tc>
          <w:tcPr>
            <w:tcW w:w="7157" w:type="dxa"/>
            <w:gridSpan w:val="7"/>
            <w:tcBorders>
              <w:top w:val="nil"/>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Correspondiente del 01 de Enero al 31 de Diciembre de 2022</w:t>
            </w:r>
          </w:p>
        </w:tc>
      </w:tr>
      <w:tr w:rsidR="00D05B9E" w:rsidRPr="00D05B9E" w:rsidTr="00EB03DE">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both"/>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1. Total de egresos (presupuestarios)</w:t>
            </w:r>
          </w:p>
        </w:tc>
        <w:tc>
          <w:tcPr>
            <w:tcW w:w="1379" w:type="dxa"/>
            <w:gridSpan w:val="2"/>
            <w:tcBorders>
              <w:top w:val="nil"/>
              <w:left w:val="nil"/>
              <w:bottom w:val="nil"/>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802,696,518</w:t>
            </w:r>
          </w:p>
        </w:tc>
      </w:tr>
      <w:tr w:rsidR="00D05B9E" w:rsidRPr="00D05B9E" w:rsidTr="00EB03DE">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379" w:type="dxa"/>
            <w:gridSpan w:val="2"/>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r>
      <w:tr w:rsidR="00D05B9E" w:rsidRPr="00D05B9E" w:rsidTr="00EB03DE">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2. Menos egresos presupuestarios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9,556,807</w:t>
            </w: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Mobiliario y equipo de administración</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2,725,584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Mobiliario y equipo educacional y recreativo</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166,716</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Equipo e instrumental médico y de laboratorio</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Vehículos y equipo de transporte</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6,053,286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Equipo de defensa y seguridad</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Maquinaria, otros equipos y herramientas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541,119</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Activos biológicos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Bienes inmuebles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Activos intangibles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70,102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Obra pública en bienes propios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Acciones y participaciones de capital</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Compra de títulos y valores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Inversiones en fideicomisos, mandatos y otros análogos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Provisiones para contingencias y otras erogaciones especiales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Amortización de la deuda publica</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Adeudos de ejercicios fiscales anteriores (ADEFAS)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Otros Egresos Presupuestales No Contables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p>
        </w:tc>
        <w:tc>
          <w:tcPr>
            <w:tcW w:w="1379"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p>
        </w:tc>
      </w:tr>
      <w:tr w:rsidR="00D05B9E" w:rsidRPr="00D05B9E" w:rsidTr="00EB03DE">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3. Más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10,184,381</w:t>
            </w: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Estimaciones, depreciaciones, deterioros, obsolescencia y amortizaciones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10,184,381</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Disminución de inventarios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57"/>
        </w:trPr>
        <w:tc>
          <w:tcPr>
            <w:tcW w:w="797" w:type="dxa"/>
            <w:tcBorders>
              <w:top w:val="nil"/>
              <w:left w:val="single" w:sz="8" w:space="0" w:color="auto"/>
              <w:bottom w:val="single" w:sz="8" w:space="0" w:color="auto"/>
              <w:right w:val="nil"/>
            </w:tcBorders>
            <w:shd w:val="clear" w:color="auto" w:fill="auto"/>
            <w:vAlign w:val="center"/>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p>
        </w:tc>
        <w:tc>
          <w:tcPr>
            <w:tcW w:w="3230" w:type="dxa"/>
            <w:gridSpan w:val="2"/>
            <w:tcBorders>
              <w:top w:val="nil"/>
              <w:left w:val="nil"/>
              <w:bottom w:val="single" w:sz="8" w:space="0" w:color="auto"/>
              <w:right w:val="single" w:sz="8" w:space="0" w:color="auto"/>
            </w:tcBorders>
            <w:shd w:val="clear" w:color="auto" w:fill="auto"/>
            <w:vAlign w:val="center"/>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p>
        </w:tc>
        <w:tc>
          <w:tcPr>
            <w:tcW w:w="1379" w:type="dxa"/>
            <w:gridSpan w:val="2"/>
            <w:tcBorders>
              <w:top w:val="nil"/>
              <w:left w:val="nil"/>
              <w:bottom w:val="single" w:sz="8" w:space="0" w:color="auto"/>
              <w:right w:val="single" w:sz="8" w:space="0" w:color="auto"/>
            </w:tcBorders>
            <w:shd w:val="clear" w:color="auto" w:fill="auto"/>
            <w:vAlign w:val="center"/>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p>
        </w:tc>
        <w:tc>
          <w:tcPr>
            <w:tcW w:w="1751" w:type="dxa"/>
            <w:gridSpan w:val="2"/>
            <w:tcBorders>
              <w:top w:val="nil"/>
              <w:left w:val="nil"/>
              <w:bottom w:val="nil"/>
              <w:right w:val="nil"/>
            </w:tcBorders>
            <w:shd w:val="clear" w:color="auto" w:fill="auto"/>
            <w:vAlign w:val="center"/>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424"/>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Aumento por insuficiencia de estimaciones por pérdida o deterioro u obsolescencia</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Aumento por insuficiencia de provisiones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797" w:type="dxa"/>
            <w:tcBorders>
              <w:top w:val="nil"/>
              <w:left w:val="single" w:sz="8" w:space="0" w:color="auto"/>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3230"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Otros Gastos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83"/>
        </w:trPr>
        <w:tc>
          <w:tcPr>
            <w:tcW w:w="402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Otros Gastos Contables No Presupuestales</w:t>
            </w:r>
          </w:p>
        </w:tc>
        <w:tc>
          <w:tcPr>
            <w:tcW w:w="1379" w:type="dxa"/>
            <w:gridSpan w:val="2"/>
            <w:tcBorders>
              <w:top w:val="nil"/>
              <w:left w:val="nil"/>
              <w:bottom w:val="single" w:sz="8" w:space="0" w:color="auto"/>
              <w:right w:val="single" w:sz="8" w:space="0" w:color="auto"/>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xml:space="preserve">0.00 </w:t>
            </w:r>
          </w:p>
        </w:tc>
        <w:tc>
          <w:tcPr>
            <w:tcW w:w="1751"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rPr>
                <w:rFonts w:ascii="Trebuchet MS" w:hAnsi="Trebuchet MS"/>
                <w:color w:val="000000"/>
                <w:sz w:val="14"/>
                <w:szCs w:val="18"/>
                <w:lang w:eastAsia="es-MX"/>
              </w:rPr>
            </w:pPr>
          </w:p>
        </w:tc>
      </w:tr>
      <w:tr w:rsidR="00D05B9E" w:rsidRPr="00D05B9E" w:rsidTr="00EB03DE">
        <w:trPr>
          <w:gridBefore w:val="2"/>
          <w:wBefore w:w="1259" w:type="dxa"/>
          <w:trHeight w:val="270"/>
        </w:trPr>
        <w:tc>
          <w:tcPr>
            <w:tcW w:w="4027" w:type="dxa"/>
            <w:gridSpan w:val="3"/>
            <w:tcBorders>
              <w:top w:val="single" w:sz="8" w:space="0" w:color="auto"/>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379" w:type="dxa"/>
            <w:gridSpan w:val="2"/>
            <w:tcBorders>
              <w:top w:val="nil"/>
              <w:left w:val="nil"/>
              <w:bottom w:val="nil"/>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p>
        </w:tc>
        <w:tc>
          <w:tcPr>
            <w:tcW w:w="1751" w:type="dxa"/>
            <w:gridSpan w:val="2"/>
            <w:tcBorders>
              <w:top w:val="nil"/>
              <w:left w:val="nil"/>
              <w:bottom w:val="single" w:sz="8" w:space="0" w:color="auto"/>
              <w:right w:val="nil"/>
            </w:tcBorders>
            <w:shd w:val="clear" w:color="auto" w:fill="auto"/>
            <w:vAlign w:val="center"/>
            <w:hideMark/>
          </w:tcPr>
          <w:p w:rsidR="00D05B9E" w:rsidRPr="00D05B9E" w:rsidRDefault="00D05B9E" w:rsidP="00D05B9E">
            <w:pPr>
              <w:spacing w:after="0" w:line="240" w:lineRule="auto"/>
              <w:contextualSpacing/>
              <w:jc w:val="center"/>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r>
      <w:tr w:rsidR="00D05B9E" w:rsidRPr="00D05B9E" w:rsidTr="00EB03DE">
        <w:trPr>
          <w:gridBefore w:val="2"/>
          <w:wBefore w:w="1259" w:type="dxa"/>
          <w:trHeight w:val="270"/>
        </w:trPr>
        <w:tc>
          <w:tcPr>
            <w:tcW w:w="4027" w:type="dxa"/>
            <w:gridSpan w:val="3"/>
            <w:tcBorders>
              <w:top w:val="single" w:sz="8" w:space="0" w:color="auto"/>
              <w:left w:val="single" w:sz="8" w:space="0" w:color="auto"/>
              <w:bottom w:val="single" w:sz="8" w:space="0" w:color="auto"/>
              <w:right w:val="single" w:sz="8" w:space="0" w:color="000000"/>
            </w:tcBorders>
            <w:shd w:val="clear" w:color="000000" w:fill="C0C0C0"/>
            <w:vAlign w:val="center"/>
            <w:hideMark/>
          </w:tcPr>
          <w:p w:rsidR="00D05B9E" w:rsidRPr="00D05B9E" w:rsidRDefault="00D05B9E" w:rsidP="00D05B9E">
            <w:pPr>
              <w:spacing w:after="0" w:line="240" w:lineRule="auto"/>
              <w:contextualSpacing/>
              <w:jc w:val="both"/>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4. Total de Gasto Contable (4 = 1 - 2 + 3)</w:t>
            </w:r>
          </w:p>
        </w:tc>
        <w:tc>
          <w:tcPr>
            <w:tcW w:w="1379" w:type="dxa"/>
            <w:gridSpan w:val="2"/>
            <w:tcBorders>
              <w:top w:val="nil"/>
              <w:left w:val="nil"/>
              <w:bottom w:val="nil"/>
              <w:right w:val="single" w:sz="8" w:space="0" w:color="auto"/>
            </w:tcBorders>
            <w:shd w:val="clear" w:color="auto" w:fill="auto"/>
            <w:vAlign w:val="center"/>
            <w:hideMark/>
          </w:tcPr>
          <w:p w:rsidR="00D05B9E" w:rsidRPr="00D05B9E" w:rsidRDefault="00D05B9E" w:rsidP="00D05B9E">
            <w:pPr>
              <w:spacing w:after="0" w:line="240" w:lineRule="auto"/>
              <w:contextualSpacing/>
              <w:jc w:val="both"/>
              <w:rPr>
                <w:rFonts w:ascii="Trebuchet MS" w:hAnsi="Trebuchet MS" w:cs="Arial"/>
                <w:color w:val="000000"/>
                <w:sz w:val="14"/>
                <w:szCs w:val="18"/>
                <w:lang w:eastAsia="es-MX"/>
              </w:rPr>
            </w:pPr>
            <w:r w:rsidRPr="00D05B9E">
              <w:rPr>
                <w:rFonts w:ascii="Trebuchet MS" w:hAnsi="Trebuchet MS" w:cs="Arial"/>
                <w:color w:val="000000"/>
                <w:sz w:val="14"/>
                <w:szCs w:val="18"/>
                <w:lang w:eastAsia="es-MX"/>
              </w:rPr>
              <w:t> </w:t>
            </w:r>
          </w:p>
        </w:tc>
        <w:tc>
          <w:tcPr>
            <w:tcW w:w="1751" w:type="dxa"/>
            <w:gridSpan w:val="2"/>
            <w:tcBorders>
              <w:top w:val="nil"/>
              <w:left w:val="nil"/>
              <w:bottom w:val="single" w:sz="8" w:space="0" w:color="auto"/>
              <w:right w:val="single" w:sz="8" w:space="0" w:color="auto"/>
            </w:tcBorders>
            <w:shd w:val="clear" w:color="000000" w:fill="C0C0C0"/>
            <w:vAlign w:val="center"/>
            <w:hideMark/>
          </w:tcPr>
          <w:p w:rsidR="00D05B9E" w:rsidRPr="00D05B9E" w:rsidRDefault="00D05B9E" w:rsidP="00D05B9E">
            <w:pPr>
              <w:spacing w:after="0" w:line="240" w:lineRule="auto"/>
              <w:contextualSpacing/>
              <w:jc w:val="center"/>
              <w:rPr>
                <w:rFonts w:ascii="Trebuchet MS" w:hAnsi="Trebuchet MS" w:cs="Arial"/>
                <w:b/>
                <w:bCs/>
                <w:color w:val="000000"/>
                <w:sz w:val="14"/>
                <w:szCs w:val="18"/>
                <w:lang w:eastAsia="es-MX"/>
              </w:rPr>
            </w:pPr>
            <w:r w:rsidRPr="00D05B9E">
              <w:rPr>
                <w:rFonts w:ascii="Trebuchet MS" w:hAnsi="Trebuchet MS" w:cs="Arial"/>
                <w:b/>
                <w:bCs/>
                <w:color w:val="000000"/>
                <w:sz w:val="14"/>
                <w:szCs w:val="18"/>
                <w:lang w:eastAsia="es-MX"/>
              </w:rPr>
              <w:t xml:space="preserve">803,324,092 </w:t>
            </w:r>
          </w:p>
        </w:tc>
      </w:tr>
    </w:tbl>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B)  NOTAS DE MEMORIA (CUENTAS DE ORDEN)</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En este apartado lo que podemos mencionar son las demandas judiciales en proceso de Resolución que en el ejercicio 2022 fue de $ 14’485,000 (catorce millones cuatrocientos ochenta y cinco mil pesos).</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C) NOTAS DE GESTIÓN ADMINISTRATIVA</w:t>
      </w: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1. INTRODUCCIÓN</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Los Estados Financieros del H. Tribunal Superior de Justicia, proveen de información financiera a los principales usuarios de la misma, al Congreso y a los ciudadanos.</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2. PANORAMA ECONÓMICO Y FINANCIERO</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El H. Tribunal Superior de Justicia envió su anteproyecto de presupuesto al Poder Ejecutivo para su inclusión en el paquete económico 2022, considerando inicialmente la cantidad de $1’487,186,000 (un mil cuatrocientos ochenta y siete millones ciento ochenta y seis mil pesos), de los cuales $41’940,000 (cuarenta y un millones novecientos cuarenta mil pesos), corresponden al Tribunal Unitario para Adolescentes y la diferencia de $1’445,246,000 (un mil cuatrocientos cuarenta y cinco millones doscientos cuarenta y seis mil pesos) para el financiamiento de los diversos proyectos del Tribunal Superior de Justicia y el pago de los decretos pensionarios emitidos por el Congreso del Estado. </w:t>
      </w:r>
    </w:p>
    <w:p w:rsid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Toda vez que la aprobación del Paquete Económico 2022 constituye un procedimiento formalmente legislativo y materialmente administrativo, sujeto a diversas etapas que concluye con su promulgación y publicación, como es de conocimiento público, a la fecha de la presentación de los estados financieros correspondiente al Cuarto Trimestre 2022, no ha concluido el referido proceso que otorga </w:t>
      </w:r>
      <w:proofErr w:type="spellStart"/>
      <w:r w:rsidRPr="00D05B9E">
        <w:rPr>
          <w:rFonts w:ascii="Trebuchet MS" w:hAnsi="Trebuchet MS"/>
          <w:sz w:val="24"/>
          <w:szCs w:val="24"/>
        </w:rPr>
        <w:t>definitividad</w:t>
      </w:r>
      <w:proofErr w:type="spellEnd"/>
      <w:r w:rsidRPr="00D05B9E">
        <w:rPr>
          <w:rFonts w:ascii="Trebuchet MS" w:hAnsi="Trebuchet MS"/>
          <w:sz w:val="24"/>
          <w:szCs w:val="24"/>
        </w:rPr>
        <w:t xml:space="preserve"> y obligatoriedad al Presupuesto de Egresos del Gobierno del Estado de Morelos para el Ejercicio Fiscal 2022. Ahora bien, mediante oficio número SH/0053-GH/2022 de fecha 06 de mayo de la presente anualidad, se notifica que el Presupuesto a ejercer durante el ejercicio fiscal 2022, se deberá considerar los montos y conceptos contenidos en el anexo 2 del Decreto número quinientos dos, por el que se reforman diversas disposiciones del Decreto número setenta y seis, por el que se aprueba el Presupuesto de Egresos del Gobierno del Estado de Morelos para el Ejercicio Fiscal del 01 de enero al 31 de diciembre de 2019. Por lo que el presupuesto autorizado para el ejercicio 2019 se tomará como referencia para el presente ejercicio fiscal, cuyos importes autorizados son de $526’034,000 (quinientos veintiséis millones treinta y cuatro mil pesos), de los cuales $106’034,000 (ciento seis millones treinta y cuatro mil pesos), se etiquetaron para pago de decretos pensionarios controvertidos ante la Suprema Corte de Justicia de la Nación del Tribunal Superior de Justicia, así como el rubro destinado al pago de vales de despensa del personal sindicalizado por un monto de $1’545,000 (un millón quinientos cuarenta y cinco mil pesos), quedando tan solo $418,455,000 (cuatrocientos dieciocho millones cuatrocientos cincuenta y </w:t>
      </w:r>
    </w:p>
    <w:p w:rsid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roofErr w:type="gramStart"/>
      <w:r w:rsidRPr="00D05B9E">
        <w:rPr>
          <w:rFonts w:ascii="Trebuchet MS" w:hAnsi="Trebuchet MS"/>
          <w:sz w:val="24"/>
          <w:szCs w:val="24"/>
        </w:rPr>
        <w:t>cinco</w:t>
      </w:r>
      <w:proofErr w:type="gramEnd"/>
      <w:r w:rsidRPr="00D05B9E">
        <w:rPr>
          <w:rFonts w:ascii="Trebuchet MS" w:hAnsi="Trebuchet MS"/>
          <w:sz w:val="24"/>
          <w:szCs w:val="24"/>
        </w:rPr>
        <w:t xml:space="preserve"> mil pesos), para la operación del Tribunal; el cual representa aproximadamente el 36% del total solicitado. Esta situación obliga a realizar ajustes a las metas, contemplando únicamente las necesidades indispensables para la debida operación de la institución en lo que es su propósito principal: impartir justicia.</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Cabe señalar que en lo que va del ejercicio 2022, se han gestionado los recursos para el pago de decretos de pensionarios, el pago del crédito fiscal 500-39-00-05-01-202-601, pago de prestaciones al personal activo, pago de sentencias de autoridad competente, así como el incremento salarial del 5% al personal activo y el financiamiento de los Tribunales de Justicia Laboral y la creación de un fondo de pensiones, tal como se describen en el siguiente cuadro:</w:t>
      </w:r>
    </w:p>
    <w:p w:rsidR="00D05B9E" w:rsidRPr="00D05B9E" w:rsidRDefault="00D05B9E" w:rsidP="00D05B9E">
      <w:pPr>
        <w:spacing w:after="0" w:line="240" w:lineRule="auto"/>
        <w:jc w:val="both"/>
        <w:rPr>
          <w:rFonts w:ascii="Trebuchet MS" w:hAnsi="Trebuchet MS"/>
          <w:sz w:val="24"/>
          <w:szCs w:val="24"/>
        </w:rPr>
      </w:pPr>
    </w:p>
    <w:tbl>
      <w:tblPr>
        <w:tblStyle w:val="Tablaconcuadrcula"/>
        <w:tblpPr w:leftFromText="141" w:rightFromText="141" w:vertAnchor="text" w:horzAnchor="margin" w:tblpXSpec="center" w:tblpY="-9"/>
        <w:tblW w:w="0" w:type="auto"/>
        <w:tblLook w:val="04A0" w:firstRow="1" w:lastRow="0" w:firstColumn="1" w:lastColumn="0" w:noHBand="0" w:noVBand="1"/>
      </w:tblPr>
      <w:tblGrid>
        <w:gridCol w:w="3600"/>
        <w:gridCol w:w="2027"/>
      </w:tblGrid>
      <w:tr w:rsidR="00D05B9E" w:rsidRPr="00D05B9E" w:rsidTr="00EB03DE">
        <w:trPr>
          <w:trHeight w:val="300"/>
        </w:trPr>
        <w:tc>
          <w:tcPr>
            <w:tcW w:w="3600" w:type="dxa"/>
            <w:shd w:val="clear" w:color="auto" w:fill="A6A6A6" w:themeFill="background1" w:themeFillShade="A6"/>
            <w:noWrap/>
            <w:hideMark/>
          </w:tcPr>
          <w:p w:rsidR="00D05B9E" w:rsidRPr="00D05B9E" w:rsidRDefault="00D05B9E" w:rsidP="00D05B9E">
            <w:pPr>
              <w:jc w:val="center"/>
              <w:rPr>
                <w:rFonts w:ascii="Trebuchet MS" w:hAnsi="Trebuchet MS"/>
                <w:b/>
                <w:bCs/>
                <w:sz w:val="24"/>
                <w:szCs w:val="24"/>
              </w:rPr>
            </w:pPr>
            <w:r w:rsidRPr="00D05B9E">
              <w:rPr>
                <w:rFonts w:ascii="Trebuchet MS" w:hAnsi="Trebuchet MS"/>
                <w:b/>
                <w:bCs/>
                <w:sz w:val="24"/>
                <w:szCs w:val="24"/>
              </w:rPr>
              <w:t>AMPLIACIONES</w:t>
            </w:r>
          </w:p>
        </w:tc>
        <w:tc>
          <w:tcPr>
            <w:tcW w:w="2027" w:type="dxa"/>
            <w:shd w:val="clear" w:color="auto" w:fill="A6A6A6" w:themeFill="background1" w:themeFillShade="A6"/>
            <w:noWrap/>
            <w:hideMark/>
          </w:tcPr>
          <w:p w:rsidR="00D05B9E" w:rsidRPr="00D05B9E" w:rsidRDefault="00D05B9E" w:rsidP="00D05B9E">
            <w:pPr>
              <w:jc w:val="center"/>
              <w:rPr>
                <w:rFonts w:ascii="Trebuchet MS" w:hAnsi="Trebuchet MS"/>
                <w:b/>
                <w:bCs/>
                <w:sz w:val="24"/>
                <w:szCs w:val="24"/>
              </w:rPr>
            </w:pPr>
            <w:r w:rsidRPr="00D05B9E">
              <w:rPr>
                <w:rFonts w:ascii="Trebuchet MS" w:hAnsi="Trebuchet MS"/>
                <w:b/>
                <w:bCs/>
                <w:sz w:val="24"/>
                <w:szCs w:val="24"/>
              </w:rPr>
              <w:t>MONTO</w:t>
            </w:r>
          </w:p>
        </w:tc>
      </w:tr>
      <w:tr w:rsidR="00D05B9E" w:rsidRPr="00D05B9E" w:rsidTr="00EB03DE">
        <w:trPr>
          <w:trHeight w:val="300"/>
        </w:trPr>
        <w:tc>
          <w:tcPr>
            <w:tcW w:w="3600" w:type="dxa"/>
            <w:hideMark/>
          </w:tcPr>
          <w:p w:rsidR="00D05B9E" w:rsidRPr="00D05B9E" w:rsidRDefault="00D05B9E" w:rsidP="00D05B9E">
            <w:pPr>
              <w:jc w:val="both"/>
              <w:rPr>
                <w:rFonts w:ascii="Trebuchet MS" w:hAnsi="Trebuchet MS"/>
                <w:sz w:val="24"/>
                <w:szCs w:val="24"/>
              </w:rPr>
            </w:pPr>
            <w:r w:rsidRPr="00D05B9E">
              <w:rPr>
                <w:rFonts w:ascii="Trebuchet MS" w:hAnsi="Trebuchet MS"/>
                <w:sz w:val="24"/>
                <w:szCs w:val="24"/>
              </w:rPr>
              <w:t>DECRETOS PENSIONARIOS</w:t>
            </w:r>
          </w:p>
        </w:tc>
        <w:tc>
          <w:tcPr>
            <w:tcW w:w="2027" w:type="dxa"/>
            <w:noWrap/>
            <w:hideMark/>
          </w:tcPr>
          <w:p w:rsidR="00D05B9E" w:rsidRPr="00D05B9E" w:rsidRDefault="00D05B9E" w:rsidP="00D05B9E">
            <w:pPr>
              <w:jc w:val="center"/>
              <w:rPr>
                <w:rFonts w:ascii="Trebuchet MS" w:hAnsi="Trebuchet MS"/>
                <w:sz w:val="24"/>
                <w:szCs w:val="24"/>
              </w:rPr>
            </w:pPr>
            <w:r w:rsidRPr="00D05B9E">
              <w:rPr>
                <w:rFonts w:ascii="Trebuchet MS" w:hAnsi="Trebuchet MS"/>
                <w:sz w:val="24"/>
                <w:szCs w:val="24"/>
              </w:rPr>
              <w:t>90’475,829</w:t>
            </w:r>
          </w:p>
        </w:tc>
      </w:tr>
      <w:tr w:rsidR="00D05B9E" w:rsidRPr="00D05B9E" w:rsidTr="00EB03DE">
        <w:trPr>
          <w:trHeight w:val="300"/>
        </w:trPr>
        <w:tc>
          <w:tcPr>
            <w:tcW w:w="3600" w:type="dxa"/>
            <w:hideMark/>
          </w:tcPr>
          <w:p w:rsidR="00D05B9E" w:rsidRPr="00D05B9E" w:rsidRDefault="00D05B9E" w:rsidP="00D05B9E">
            <w:pPr>
              <w:jc w:val="both"/>
              <w:rPr>
                <w:rFonts w:ascii="Trebuchet MS" w:hAnsi="Trebuchet MS"/>
                <w:sz w:val="24"/>
                <w:szCs w:val="24"/>
              </w:rPr>
            </w:pPr>
            <w:r w:rsidRPr="00D05B9E">
              <w:rPr>
                <w:rFonts w:ascii="Trebuchet MS" w:hAnsi="Trebuchet MS"/>
                <w:sz w:val="24"/>
                <w:szCs w:val="24"/>
              </w:rPr>
              <w:t>PAGO DE CRÉDITO FISCAL</w:t>
            </w:r>
          </w:p>
        </w:tc>
        <w:tc>
          <w:tcPr>
            <w:tcW w:w="2027" w:type="dxa"/>
            <w:noWrap/>
            <w:hideMark/>
          </w:tcPr>
          <w:p w:rsidR="00D05B9E" w:rsidRPr="00D05B9E" w:rsidRDefault="00D05B9E" w:rsidP="00D05B9E">
            <w:pPr>
              <w:jc w:val="center"/>
              <w:rPr>
                <w:rFonts w:ascii="Trebuchet MS" w:hAnsi="Trebuchet MS"/>
                <w:sz w:val="24"/>
                <w:szCs w:val="24"/>
              </w:rPr>
            </w:pPr>
            <w:r w:rsidRPr="00D05B9E">
              <w:rPr>
                <w:rFonts w:ascii="Trebuchet MS" w:hAnsi="Trebuchet MS"/>
                <w:sz w:val="24"/>
                <w:szCs w:val="24"/>
              </w:rPr>
              <w:t>37’822,261</w:t>
            </w:r>
          </w:p>
        </w:tc>
      </w:tr>
      <w:tr w:rsidR="00D05B9E" w:rsidRPr="00D05B9E" w:rsidTr="00EB03DE">
        <w:trPr>
          <w:trHeight w:val="600"/>
        </w:trPr>
        <w:tc>
          <w:tcPr>
            <w:tcW w:w="3600" w:type="dxa"/>
            <w:hideMark/>
          </w:tcPr>
          <w:p w:rsidR="00D05B9E" w:rsidRPr="00D05B9E" w:rsidRDefault="00D05B9E" w:rsidP="00D05B9E">
            <w:pPr>
              <w:jc w:val="both"/>
              <w:rPr>
                <w:rFonts w:ascii="Trebuchet MS" w:hAnsi="Trebuchet MS"/>
                <w:sz w:val="24"/>
                <w:szCs w:val="24"/>
              </w:rPr>
            </w:pPr>
            <w:r w:rsidRPr="00D05B9E">
              <w:rPr>
                <w:rFonts w:ascii="Trebuchet MS" w:hAnsi="Trebuchet MS"/>
                <w:sz w:val="24"/>
                <w:szCs w:val="24"/>
              </w:rPr>
              <w:t>PAGO DE SENTENCIAS, ASÍ COMO PRESTACIONES DE PERSONAL ACTIVO, OPERATIVO Y JUBILADO</w:t>
            </w:r>
          </w:p>
        </w:tc>
        <w:tc>
          <w:tcPr>
            <w:tcW w:w="2027" w:type="dxa"/>
            <w:noWrap/>
            <w:hideMark/>
          </w:tcPr>
          <w:p w:rsidR="00D05B9E" w:rsidRPr="00D05B9E" w:rsidRDefault="00D05B9E" w:rsidP="00D05B9E">
            <w:pPr>
              <w:jc w:val="center"/>
              <w:rPr>
                <w:rFonts w:ascii="Trebuchet MS" w:hAnsi="Trebuchet MS"/>
                <w:sz w:val="24"/>
                <w:szCs w:val="24"/>
              </w:rPr>
            </w:pPr>
            <w:r w:rsidRPr="00D05B9E">
              <w:rPr>
                <w:rFonts w:ascii="Trebuchet MS" w:hAnsi="Trebuchet MS"/>
                <w:sz w:val="24"/>
                <w:szCs w:val="24"/>
              </w:rPr>
              <w:t>124’803,820</w:t>
            </w:r>
          </w:p>
        </w:tc>
      </w:tr>
      <w:tr w:rsidR="00D05B9E" w:rsidRPr="00D05B9E" w:rsidTr="00EB03DE">
        <w:trPr>
          <w:trHeight w:val="300"/>
        </w:trPr>
        <w:tc>
          <w:tcPr>
            <w:tcW w:w="3600" w:type="dxa"/>
            <w:hideMark/>
          </w:tcPr>
          <w:p w:rsidR="00D05B9E" w:rsidRPr="00D05B9E" w:rsidRDefault="00D05B9E" w:rsidP="00D05B9E">
            <w:pPr>
              <w:jc w:val="both"/>
              <w:rPr>
                <w:rFonts w:ascii="Trebuchet MS" w:hAnsi="Trebuchet MS"/>
                <w:sz w:val="24"/>
                <w:szCs w:val="24"/>
              </w:rPr>
            </w:pPr>
            <w:r w:rsidRPr="00D05B9E">
              <w:rPr>
                <w:rFonts w:ascii="Trebuchet MS" w:hAnsi="Trebuchet MS"/>
                <w:sz w:val="24"/>
                <w:szCs w:val="24"/>
              </w:rPr>
              <w:t>EJECUCION DE REFORMA LABORAL</w:t>
            </w:r>
          </w:p>
        </w:tc>
        <w:tc>
          <w:tcPr>
            <w:tcW w:w="2027" w:type="dxa"/>
            <w:noWrap/>
            <w:hideMark/>
          </w:tcPr>
          <w:p w:rsidR="00D05B9E" w:rsidRPr="00D05B9E" w:rsidRDefault="00D05B9E" w:rsidP="00D05B9E">
            <w:pPr>
              <w:jc w:val="center"/>
              <w:rPr>
                <w:rFonts w:ascii="Trebuchet MS" w:hAnsi="Trebuchet MS"/>
                <w:sz w:val="24"/>
                <w:szCs w:val="24"/>
              </w:rPr>
            </w:pPr>
            <w:r w:rsidRPr="00D05B9E">
              <w:rPr>
                <w:rFonts w:ascii="Trebuchet MS" w:hAnsi="Trebuchet MS"/>
                <w:sz w:val="24"/>
                <w:szCs w:val="24"/>
              </w:rPr>
              <w:t>15’000,000</w:t>
            </w:r>
          </w:p>
        </w:tc>
      </w:tr>
      <w:tr w:rsidR="00D05B9E" w:rsidRPr="00D05B9E" w:rsidTr="00EB03DE">
        <w:trPr>
          <w:trHeight w:val="300"/>
        </w:trPr>
        <w:tc>
          <w:tcPr>
            <w:tcW w:w="3600" w:type="dxa"/>
          </w:tcPr>
          <w:p w:rsidR="00D05B9E" w:rsidRPr="00D05B9E" w:rsidRDefault="00D05B9E" w:rsidP="00D05B9E">
            <w:pPr>
              <w:jc w:val="both"/>
              <w:rPr>
                <w:rFonts w:ascii="Trebuchet MS" w:hAnsi="Trebuchet MS"/>
                <w:sz w:val="24"/>
                <w:szCs w:val="24"/>
              </w:rPr>
            </w:pPr>
            <w:r w:rsidRPr="00D05B9E">
              <w:rPr>
                <w:rFonts w:ascii="Trebuchet MS" w:hAnsi="Trebuchet MS"/>
                <w:sz w:val="24"/>
                <w:szCs w:val="24"/>
              </w:rPr>
              <w:t>FONDO DE PENSIONES</w:t>
            </w:r>
          </w:p>
        </w:tc>
        <w:tc>
          <w:tcPr>
            <w:tcW w:w="2027" w:type="dxa"/>
            <w:noWrap/>
          </w:tcPr>
          <w:p w:rsidR="00D05B9E" w:rsidRPr="00D05B9E" w:rsidRDefault="00D05B9E" w:rsidP="00D05B9E">
            <w:pPr>
              <w:jc w:val="center"/>
              <w:rPr>
                <w:rFonts w:ascii="Trebuchet MS" w:hAnsi="Trebuchet MS"/>
                <w:sz w:val="24"/>
                <w:szCs w:val="24"/>
              </w:rPr>
            </w:pPr>
            <w:r w:rsidRPr="00D05B9E">
              <w:rPr>
                <w:rFonts w:ascii="Trebuchet MS" w:hAnsi="Trebuchet MS"/>
                <w:sz w:val="24"/>
                <w:szCs w:val="24"/>
              </w:rPr>
              <w:t>50’000,000</w:t>
            </w:r>
          </w:p>
        </w:tc>
      </w:tr>
    </w:tbl>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Se enfatiza que derivado de la ampliación para la creación de un fondo de pensiones, dicha ministración fue recaudada el día 27 de diciembre de 2022, por lo que su aplicación líquida se verá reflejada durante el ejercicio fiscal 2023.</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Ahora bien, durante el ejercicio 2021 mediante el acuerdo número RJD/JUNTA ADMON/0008/2021, se solicitó la atención de la Dirección General de Administración para que realizara la anotación financiera, contable y presupuestal del devengo del compromiso de pago de la segunda parte de aguinaldo 2020, toda vez que durante el ejercicio 2020 la insuficiencia presupuestal de dicho ejercicio derivó en la carencia de recursos para poder devengar el compromiso del pago mencionado, determinándose el pago de dicha obligación con cargo a los recursos del ejercicio fiscal 2021, derivado de lo expuesto mediante oficio número DGA/ORG/0006/2020. </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Para solventar los compromisos de pago al cierre del ejercicio 2022 se deberá considerar los efectos de liquidez financiera del acuerdo número RJD/JUNTA ADMON/2667/2020, mediante el cual se instruyó a la Dirección General de Administración realizara la cancelación de los registros presupuestales y contables por la cantidad de $84’480,550.78 (ochenta y cuatro millones </w:t>
      </w:r>
      <w:r w:rsidRPr="00D05B9E">
        <w:rPr>
          <w:rFonts w:ascii="Trebuchet MS" w:hAnsi="Trebuchet MS"/>
          <w:sz w:val="24"/>
          <w:szCs w:val="24"/>
        </w:rPr>
        <w:lastRenderedPageBreak/>
        <w:t>cuatrocientos ochenta mil quinientos cincuenta pesos 78/100 m.n.), provenientes del reconocimiento del gasto del pago de aguinaldo 2019, para el cierre del ejercicio 2020 y cuyo efecto financiero persiste al cierre del ejercicio 2022.</w:t>
      </w: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 xml:space="preserve"> </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3. AUTORIZACIÓN E HISTORIA</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La Ley que crea el H. Tribunal Superior de Justicia como entidad independiente con personalidad jurídica y patrimonio propios, se publicó en el Periódico Oficial del Estado número 3739, 6ª época, el 12 de abril de 1995, la cual se regía en su Administración por el entonces Consejo de la Judicatura del Estado, y en la actualidad por la Junta de Administración, Vigilancia y Disciplina.</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4. ORGANIZACIÓN Y OBJETO SOCIAL</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El propósito del H. Tribunal Superior de Justicia es la Impartición de Justicia en el Estado de Morelos, por lo que presta sus servicios en la resolución de conflictos a la ciudadanía morelense, en los términos de la Constitución Política local, en correspondencia con la facultad de aplicar las leyes en asuntos civiles y penales del fuero común, lo mismo que en los asuntos de orden federal, en los casos en que expresamente los ordenamientos legales de esta materia les confieran jurisdicción, así como el de regular su administración.</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5. BASES DE PREPARACIÓN DE LOS ESTADOS FINANCIEROS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Características del Sistema de Contabilidad Gubernamental (SCG)</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Con el propósito de llevar a cabo la implementación de la armonización contable en el H. Tribunal Superior de Justicia y toda vez que el CONAC, dentro de la normatividad emitida por ese órgano colegiado, no contempló la distribución de la herramienta tecnológica que permitiera a los entes públicos cumplir con lo requerido en la Ley General de Contabilidad y además de que el software implementado para 2012 cumplió parcialmente con las expectativas requeridas para la armonización contable de la institución, toda vez que generó inconsistencias documentadas durante su operación, por lo que a partir del ejercicio 2013, el entonces Consejo de la Judicatura del Estado tuvo a bien autorizar la adquisición e implementación del sistema informático denominado SACG, para el ejercicio 2022, se adquiere la versión SAACG.NET actualmente en su versión 2.2.0.3 el cual prevé las últimas actualizaciones vigentes en materia de contabilidad Gubernamental, el cual cabe señalar es desarrollado por el Instituto para el Desarrollo Técnico de las Hacienda Publicas, por medio de este último actualmente se está administrando el presupuesto y contabilidad del periodo que se informa. </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6. POLÍTICAS DE CONTABILIDAD SIGNIFICATIVAS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 xml:space="preserve">Para el presente ejercicio se implementaran procesos de mejora para la agilizar y simplificar el tiempo de trámite para el registro y archivo de la documental de las operaciones internas del área de Contabilidad General. </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lastRenderedPageBreak/>
        <w:t>7. POSICIÓN EN MONEDA EXTRANJERA Y PROTECCIÓN POR RIESGO CAMBIARIO (sin información que revelar)</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8.  REPORTE ANALITÍCO DEL ACTIVO</w:t>
      </w:r>
    </w:p>
    <w:p w:rsidR="00D05B9E" w:rsidRPr="00D05B9E" w:rsidRDefault="00D05B9E" w:rsidP="00D05B9E">
      <w:pPr>
        <w:spacing w:after="0" w:line="240" w:lineRule="auto"/>
        <w:jc w:val="both"/>
        <w:rPr>
          <w:noProof/>
          <w:lang w:eastAsia="es-MX"/>
        </w:rPr>
      </w:pPr>
    </w:p>
    <w:p w:rsidR="00D05B9E" w:rsidRPr="00D05B9E" w:rsidRDefault="00D05B9E" w:rsidP="00D05B9E">
      <w:pPr>
        <w:spacing w:after="0" w:line="240" w:lineRule="auto"/>
        <w:jc w:val="both"/>
        <w:rPr>
          <w:noProof/>
          <w:lang w:eastAsia="es-MX"/>
        </w:rPr>
      </w:pPr>
      <w:r w:rsidRPr="00D05B9E">
        <w:rPr>
          <w:noProof/>
          <w:lang w:eastAsia="es-MX"/>
        </w:rPr>
        <w:drawing>
          <wp:inline distT="0" distB="0" distL="0" distR="0" wp14:anchorId="0E7F057A" wp14:editId="3A01C3A8">
            <wp:extent cx="5943600" cy="3504938"/>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504938"/>
                    </a:xfrm>
                    <a:prstGeom prst="rect">
                      <a:avLst/>
                    </a:prstGeom>
                    <a:noFill/>
                    <a:ln>
                      <a:noFill/>
                    </a:ln>
                  </pic:spPr>
                </pic:pic>
              </a:graphicData>
            </a:graphic>
          </wp:inline>
        </w:drawing>
      </w:r>
    </w:p>
    <w:p w:rsidR="00D05B9E" w:rsidRPr="00D05B9E" w:rsidRDefault="00D05B9E" w:rsidP="00D05B9E">
      <w:pPr>
        <w:spacing w:after="0" w:line="240" w:lineRule="auto"/>
        <w:jc w:val="both"/>
        <w:rPr>
          <w:noProof/>
          <w:lang w:eastAsia="es-MX"/>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9. FIDEICOMISOS, MANDATOS Y ANÁLOGOS (sin información que revelar)</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10. REPORTE DE LA RECAUDACIÓN</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El reporte muestra debidamente el presupuesto devengado que corresponde a los gastos reflejados en balanza y estados financieros en cada una de las partidas.</w:t>
      </w:r>
    </w:p>
    <w:p w:rsidR="00D05B9E" w:rsidRPr="00D05B9E" w:rsidRDefault="00D05B9E" w:rsidP="00D05B9E">
      <w:pPr>
        <w:spacing w:after="0" w:line="240" w:lineRule="auto"/>
        <w:ind w:left="1416" w:firstLine="708"/>
        <w:jc w:val="both"/>
        <w:rPr>
          <w:rFonts w:ascii="Trebuchet MS" w:hAnsi="Trebuchet MS"/>
          <w:sz w:val="24"/>
          <w:szCs w:val="24"/>
        </w:rPr>
      </w:pPr>
    </w:p>
    <w:p w:rsidR="00D05B9E" w:rsidRPr="00D05B9E" w:rsidRDefault="00D05B9E" w:rsidP="00D05B9E">
      <w:pPr>
        <w:spacing w:after="0" w:line="240" w:lineRule="auto"/>
        <w:ind w:left="1416" w:firstLine="708"/>
        <w:jc w:val="both"/>
        <w:rPr>
          <w:rFonts w:ascii="Trebuchet MS" w:hAnsi="Trebuchet MS"/>
          <w:sz w:val="24"/>
          <w:szCs w:val="24"/>
        </w:rPr>
      </w:pPr>
      <w:r w:rsidRPr="00D05B9E">
        <w:rPr>
          <w:rFonts w:ascii="Trebuchet MS" w:hAnsi="Trebuchet MS"/>
          <w:sz w:val="24"/>
          <w:szCs w:val="24"/>
        </w:rPr>
        <w:t>Presupuesto Modificado</w:t>
      </w:r>
      <w:r w:rsidRPr="00D05B9E">
        <w:rPr>
          <w:rFonts w:ascii="Trebuchet MS" w:hAnsi="Trebuchet MS"/>
          <w:sz w:val="24"/>
          <w:szCs w:val="24"/>
        </w:rPr>
        <w:tab/>
        <w:t>$853’327,280</w:t>
      </w:r>
      <w:r w:rsidRPr="00D05B9E">
        <w:rPr>
          <w:rFonts w:ascii="Trebuchet MS" w:hAnsi="Trebuchet MS"/>
          <w:sz w:val="24"/>
          <w:szCs w:val="24"/>
        </w:rPr>
        <w:tab/>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t>Presupuesto Devengado</w:t>
      </w:r>
      <w:r w:rsidRPr="00D05B9E">
        <w:rPr>
          <w:rFonts w:ascii="Trebuchet MS" w:hAnsi="Trebuchet MS"/>
          <w:sz w:val="24"/>
          <w:szCs w:val="24"/>
        </w:rPr>
        <w:tab/>
        <w:t>$802’696,518</w:t>
      </w:r>
    </w:p>
    <w:p w:rsidR="00D05B9E" w:rsidRPr="00D05B9E" w:rsidRDefault="00D05B9E" w:rsidP="00D05B9E">
      <w:pPr>
        <w:spacing w:after="0" w:line="240" w:lineRule="auto"/>
        <w:contextualSpacing/>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Estado Analítico de Ingresos Presupuestales</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La integración de las transferencias por concepto, tal y como fueron aprobadas por parte del Congreso del Estado se integran conforme a lo siguiente:</w:t>
      </w:r>
    </w:p>
    <w:p w:rsidR="00D05B9E" w:rsidRPr="00D05B9E" w:rsidRDefault="00D05B9E" w:rsidP="00D05B9E">
      <w:pPr>
        <w:spacing w:after="0" w:line="240" w:lineRule="auto"/>
        <w:contextualSpacing/>
        <w:rPr>
          <w:rFonts w:ascii="Trebuchet MS" w:hAnsi="Trebuchet MS"/>
          <w:sz w:val="24"/>
          <w:szCs w:val="24"/>
        </w:rPr>
      </w:pPr>
    </w:p>
    <w:p w:rsidR="00D05B9E" w:rsidRPr="00D05B9E" w:rsidRDefault="00D05B9E" w:rsidP="00D05B9E">
      <w:pPr>
        <w:spacing w:after="0" w:line="240" w:lineRule="auto"/>
        <w:contextualSpacing/>
        <w:rPr>
          <w:rFonts w:ascii="Trebuchet MS" w:hAnsi="Trebuchet MS"/>
          <w:sz w:val="24"/>
          <w:szCs w:val="24"/>
        </w:rPr>
      </w:pPr>
      <w:r w:rsidRPr="00D05B9E">
        <w:rPr>
          <w:rFonts w:ascii="Trebuchet MS" w:hAnsi="Trebuchet MS"/>
          <w:sz w:val="24"/>
          <w:szCs w:val="24"/>
        </w:rPr>
        <w:t>Ley de Ingresos Modificada</w:t>
      </w: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t>$ 853’327,280</w:t>
      </w:r>
    </w:p>
    <w:p w:rsidR="00D05B9E" w:rsidRPr="00D05B9E" w:rsidRDefault="00D05B9E" w:rsidP="00D05B9E">
      <w:pPr>
        <w:spacing w:after="0" w:line="240" w:lineRule="auto"/>
        <w:contextualSpacing/>
        <w:rPr>
          <w:rFonts w:ascii="Trebuchet MS" w:hAnsi="Trebuchet MS"/>
          <w:sz w:val="24"/>
          <w:szCs w:val="24"/>
        </w:rPr>
      </w:pPr>
      <w:r w:rsidRPr="00D05B9E">
        <w:rPr>
          <w:rFonts w:ascii="Trebuchet MS" w:hAnsi="Trebuchet MS"/>
          <w:sz w:val="24"/>
          <w:szCs w:val="24"/>
        </w:rPr>
        <w:t>Ingresos Recaudados</w:t>
      </w: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r>
      <w:r w:rsidRPr="00D05B9E">
        <w:rPr>
          <w:rFonts w:ascii="Trebuchet MS" w:hAnsi="Trebuchet MS"/>
          <w:sz w:val="24"/>
          <w:szCs w:val="24"/>
        </w:rPr>
        <w:tab/>
        <w:t>$ 853’327,280</w:t>
      </w:r>
      <w:r w:rsidRPr="00D05B9E">
        <w:rPr>
          <w:rFonts w:ascii="Trebuchet MS" w:hAnsi="Trebuchet MS"/>
          <w:sz w:val="24"/>
          <w:szCs w:val="24"/>
        </w:rPr>
        <w:tab/>
      </w:r>
      <w:r w:rsidRPr="00D05B9E">
        <w:rPr>
          <w:rFonts w:ascii="Trebuchet MS" w:hAnsi="Trebuchet MS"/>
          <w:sz w:val="24"/>
          <w:szCs w:val="24"/>
        </w:rPr>
        <w:tab/>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Los ingresos recaudados representan el 100%, con respecto al presupuesto autorizado y modificado para el H. Tribunal Superior de Justicia en el ejercicio 2022.</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11. INFORMACIÓN SOBRE LA DEUDA Y EL REPORTE ANALÍTICO DE LA DEUDA (sin información que revelar)</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12. CALIFICACIONES OTORGADAS (sin información que revelar)</w:t>
      </w:r>
    </w:p>
    <w:p w:rsidR="00D05B9E" w:rsidRPr="00D05B9E" w:rsidRDefault="00D05B9E" w:rsidP="00D05B9E">
      <w:pPr>
        <w:spacing w:after="0" w:line="240" w:lineRule="auto"/>
        <w:jc w:val="both"/>
        <w:rPr>
          <w:rFonts w:ascii="Trebuchet MS" w:hAnsi="Trebuchet MS"/>
          <w:b/>
          <w:sz w:val="24"/>
          <w:szCs w:val="24"/>
        </w:rPr>
      </w:pPr>
    </w:p>
    <w:p w:rsidR="00D05B9E" w:rsidRPr="00D05B9E" w:rsidRDefault="00D05B9E" w:rsidP="00D05B9E">
      <w:pPr>
        <w:spacing w:after="0" w:line="240" w:lineRule="auto"/>
        <w:jc w:val="both"/>
        <w:rPr>
          <w:rFonts w:ascii="Trebuchet MS" w:hAnsi="Trebuchet MS"/>
          <w:b/>
          <w:sz w:val="24"/>
          <w:szCs w:val="24"/>
        </w:rPr>
      </w:pPr>
      <w:r w:rsidRPr="00D05B9E">
        <w:rPr>
          <w:rFonts w:ascii="Trebuchet MS" w:hAnsi="Trebuchet MS"/>
          <w:b/>
          <w:sz w:val="24"/>
          <w:szCs w:val="24"/>
        </w:rPr>
        <w:t>13. PROCESO DE MEJORA</w:t>
      </w: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A la fecha el INDETEC ha desarrollado un nuevo sistema de contabilidad gubernamental, una aplicación más robusta para soportar mayor número de operaciones, para facilitar e integrar sus operaciones presupuestales, administrativas, contables y financieras, construyendo automáticamente la contabilidad con un enfoque de gestión en el proceso de armonización de las operaciones de los entes públicos el cual denomina como SAACG.NET (Sistema Automatizado de Administración y Contabilidad Gubernamental .NET) dicho sistema cuenta con las ultimas adecuaciones que se han hecho en materia de Ley General de Contabilidad Gubernamental, el cual se encuentra actualmente en operación en nuestra entidad, cabe señalar que se tiene proyectada una reunión virtual con el área de desarrollo de sistemas del INDETEC, para exponer la necesidad de diseñar reportes específicos con la finalidad de generar e integrar fácil y rápidamente la información adicional que requieren los distintos órganos de fiscalización con la finalidad de agilizar su revisión.</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14. INFORMACIÓN POR SEGMENTOS: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15. EVENTOS POSTERIORES AL CIERRE: (sin información que revelar)</w:t>
      </w:r>
    </w:p>
    <w:p w:rsidR="00D05B9E" w:rsidRPr="00D05B9E" w:rsidRDefault="00D05B9E" w:rsidP="00D05B9E">
      <w:pPr>
        <w:spacing w:after="0" w:line="240" w:lineRule="auto"/>
        <w:jc w:val="both"/>
        <w:rPr>
          <w:rFonts w:ascii="Trebuchet MS" w:hAnsi="Trebuchet MS"/>
          <w:sz w:val="24"/>
          <w:szCs w:val="24"/>
        </w:rPr>
      </w:pPr>
    </w:p>
    <w:p w:rsidR="00D05B9E" w:rsidRPr="00D05B9E" w:rsidRDefault="00D05B9E" w:rsidP="00D05B9E">
      <w:pPr>
        <w:spacing w:after="0" w:line="240" w:lineRule="auto"/>
        <w:jc w:val="both"/>
        <w:rPr>
          <w:rFonts w:ascii="Trebuchet MS" w:hAnsi="Trebuchet MS"/>
          <w:sz w:val="24"/>
          <w:szCs w:val="24"/>
        </w:rPr>
      </w:pPr>
      <w:r w:rsidRPr="00D05B9E">
        <w:rPr>
          <w:rFonts w:ascii="Trebuchet MS" w:hAnsi="Trebuchet MS"/>
          <w:sz w:val="24"/>
          <w:szCs w:val="24"/>
        </w:rPr>
        <w:t>16. PARTES RELACIONADAS: (sin información que revelar)</w:t>
      </w:r>
      <w:bookmarkStart w:id="0" w:name="_GoBack"/>
      <w:bookmarkEnd w:id="0"/>
    </w:p>
    <w:p w:rsidR="00D05B9E" w:rsidRPr="00D05B9E" w:rsidRDefault="00D05B9E" w:rsidP="00D05B9E">
      <w:pPr>
        <w:spacing w:after="0" w:line="240" w:lineRule="auto"/>
        <w:jc w:val="center"/>
        <w:outlineLvl w:val="0"/>
        <w:rPr>
          <w:rFonts w:ascii="Trebuchet MS" w:eastAsia="Times New Roman" w:hAnsi="Trebuchet MS" w:cs="Times New Roman"/>
          <w:b/>
          <w:bCs/>
          <w:kern w:val="28"/>
          <w:sz w:val="24"/>
          <w:szCs w:val="24"/>
          <w:lang w:eastAsia="es-ES"/>
        </w:rPr>
      </w:pPr>
    </w:p>
    <w:p w:rsidR="00D05B9E" w:rsidRPr="00D05B9E" w:rsidRDefault="00D05B9E" w:rsidP="00D05B9E">
      <w:pPr>
        <w:spacing w:after="0" w:line="240" w:lineRule="auto"/>
        <w:jc w:val="center"/>
        <w:outlineLvl w:val="0"/>
        <w:rPr>
          <w:rFonts w:ascii="Cambria" w:eastAsia="Times New Roman" w:hAnsi="Cambria" w:cs="Times New Roman"/>
          <w:b/>
          <w:bCs/>
          <w:kern w:val="28"/>
          <w:sz w:val="32"/>
          <w:szCs w:val="32"/>
          <w:lang w:eastAsia="es-ES"/>
        </w:rPr>
      </w:pPr>
    </w:p>
    <w:p w:rsidR="00D05B9E" w:rsidRPr="00D05B9E" w:rsidRDefault="00D05B9E" w:rsidP="00D05B9E">
      <w:pPr>
        <w:rPr>
          <w:lang w:eastAsia="es-ES"/>
        </w:rPr>
      </w:pPr>
    </w:p>
    <w:tbl>
      <w:tblPr>
        <w:tblW w:w="8905" w:type="dxa"/>
        <w:tblInd w:w="55" w:type="dxa"/>
        <w:tblCellMar>
          <w:left w:w="70" w:type="dxa"/>
          <w:right w:w="70" w:type="dxa"/>
        </w:tblCellMar>
        <w:tblLook w:val="04A0" w:firstRow="1" w:lastRow="0" w:firstColumn="1" w:lastColumn="0" w:noHBand="0" w:noVBand="1"/>
      </w:tblPr>
      <w:tblGrid>
        <w:gridCol w:w="6286"/>
        <w:gridCol w:w="873"/>
        <w:gridCol w:w="873"/>
        <w:gridCol w:w="873"/>
      </w:tblGrid>
      <w:tr w:rsidR="00D05B9E" w:rsidRPr="00D05B9E" w:rsidTr="00EB03DE">
        <w:trPr>
          <w:trHeight w:val="301"/>
        </w:trPr>
        <w:tc>
          <w:tcPr>
            <w:tcW w:w="8904" w:type="dxa"/>
            <w:gridSpan w:val="4"/>
            <w:tcBorders>
              <w:top w:val="nil"/>
              <w:left w:val="nil"/>
              <w:bottom w:val="nil"/>
              <w:right w:val="nil"/>
            </w:tcBorders>
            <w:shd w:val="clear" w:color="000000" w:fill="FFFFFF"/>
            <w:noWrap/>
            <w:hideMark/>
          </w:tcPr>
          <w:p w:rsidR="00D05B9E" w:rsidRPr="00D05B9E" w:rsidRDefault="00D05B9E" w:rsidP="00D05B9E">
            <w:pPr>
              <w:spacing w:after="0" w:line="240" w:lineRule="auto"/>
              <w:contextualSpacing/>
              <w:rPr>
                <w:rFonts w:ascii="Trebuchet MS" w:hAnsi="Trebuchet MS"/>
                <w:sz w:val="16"/>
                <w:szCs w:val="24"/>
              </w:rPr>
            </w:pPr>
            <w:r w:rsidRPr="00D05B9E">
              <w:rPr>
                <w:rFonts w:ascii="Trebuchet MS" w:hAnsi="Trebuchet MS"/>
                <w:sz w:val="16"/>
                <w:szCs w:val="24"/>
              </w:rPr>
              <w:t>Bajo protesta de decir verdad declaramos que los Estados Financieros y sus Notas son razonablemente correctos y responsabilidad del emisor.</w:t>
            </w:r>
          </w:p>
        </w:tc>
      </w:tr>
      <w:tr w:rsidR="00D05B9E" w:rsidRPr="00D05B9E" w:rsidTr="00EB03DE">
        <w:trPr>
          <w:trHeight w:val="301"/>
        </w:trPr>
        <w:tc>
          <w:tcPr>
            <w:tcW w:w="6286" w:type="dxa"/>
            <w:tcBorders>
              <w:top w:val="nil"/>
              <w:left w:val="nil"/>
              <w:bottom w:val="nil"/>
              <w:right w:val="nil"/>
            </w:tcBorders>
            <w:shd w:val="clear" w:color="000000" w:fill="FFFFFF"/>
            <w:noWrap/>
            <w:hideMark/>
          </w:tcPr>
          <w:p w:rsidR="00D05B9E" w:rsidRPr="00D05B9E" w:rsidRDefault="00D05B9E" w:rsidP="00D05B9E">
            <w:pPr>
              <w:spacing w:after="0" w:line="240" w:lineRule="auto"/>
              <w:contextualSpacing/>
              <w:rPr>
                <w:rFonts w:ascii="Trebuchet MS" w:hAnsi="Trebuchet MS"/>
                <w:sz w:val="16"/>
                <w:szCs w:val="24"/>
              </w:rPr>
            </w:pPr>
          </w:p>
        </w:tc>
        <w:tc>
          <w:tcPr>
            <w:tcW w:w="873" w:type="dxa"/>
            <w:tcBorders>
              <w:top w:val="nil"/>
              <w:left w:val="nil"/>
              <w:bottom w:val="nil"/>
              <w:right w:val="nil"/>
            </w:tcBorders>
            <w:shd w:val="clear" w:color="000000" w:fill="FFFFFF"/>
            <w:noWrap/>
            <w:vAlign w:val="bottom"/>
            <w:hideMark/>
          </w:tcPr>
          <w:p w:rsidR="00D05B9E" w:rsidRPr="00D05B9E" w:rsidRDefault="00D05B9E" w:rsidP="00D05B9E">
            <w:pPr>
              <w:spacing w:after="0" w:line="240" w:lineRule="auto"/>
              <w:contextualSpacing/>
              <w:rPr>
                <w:rFonts w:ascii="Trebuchet MS" w:hAnsi="Trebuchet MS"/>
                <w:sz w:val="16"/>
                <w:szCs w:val="24"/>
              </w:rPr>
            </w:pPr>
            <w:r w:rsidRPr="00D05B9E">
              <w:rPr>
                <w:rFonts w:ascii="Trebuchet MS" w:hAnsi="Trebuchet MS"/>
                <w:sz w:val="16"/>
                <w:szCs w:val="24"/>
              </w:rPr>
              <w:t> </w:t>
            </w:r>
          </w:p>
        </w:tc>
        <w:tc>
          <w:tcPr>
            <w:tcW w:w="873" w:type="dxa"/>
            <w:tcBorders>
              <w:top w:val="nil"/>
              <w:left w:val="nil"/>
              <w:bottom w:val="nil"/>
              <w:right w:val="nil"/>
            </w:tcBorders>
            <w:shd w:val="clear" w:color="000000" w:fill="FFFFFF"/>
            <w:noWrap/>
            <w:vAlign w:val="bottom"/>
            <w:hideMark/>
          </w:tcPr>
          <w:p w:rsidR="00D05B9E" w:rsidRPr="00D05B9E" w:rsidRDefault="00D05B9E" w:rsidP="00D05B9E">
            <w:pPr>
              <w:spacing w:after="0" w:line="240" w:lineRule="auto"/>
              <w:contextualSpacing/>
              <w:rPr>
                <w:rFonts w:ascii="Trebuchet MS" w:hAnsi="Trebuchet MS"/>
                <w:sz w:val="16"/>
                <w:szCs w:val="24"/>
              </w:rPr>
            </w:pPr>
            <w:r w:rsidRPr="00D05B9E">
              <w:rPr>
                <w:rFonts w:ascii="Trebuchet MS" w:hAnsi="Trebuchet MS"/>
                <w:sz w:val="16"/>
                <w:szCs w:val="24"/>
              </w:rPr>
              <w:t> </w:t>
            </w:r>
          </w:p>
        </w:tc>
        <w:tc>
          <w:tcPr>
            <w:tcW w:w="873" w:type="dxa"/>
            <w:tcBorders>
              <w:top w:val="nil"/>
              <w:left w:val="nil"/>
              <w:bottom w:val="nil"/>
              <w:right w:val="nil"/>
            </w:tcBorders>
            <w:shd w:val="clear" w:color="000000" w:fill="FFFFFF"/>
            <w:noWrap/>
            <w:vAlign w:val="bottom"/>
            <w:hideMark/>
          </w:tcPr>
          <w:p w:rsidR="00D05B9E" w:rsidRPr="00D05B9E" w:rsidRDefault="00D05B9E" w:rsidP="00D05B9E">
            <w:pPr>
              <w:spacing w:after="0" w:line="240" w:lineRule="auto"/>
              <w:contextualSpacing/>
              <w:rPr>
                <w:rFonts w:ascii="Trebuchet MS" w:hAnsi="Trebuchet MS"/>
                <w:sz w:val="16"/>
                <w:szCs w:val="24"/>
              </w:rPr>
            </w:pPr>
            <w:r w:rsidRPr="00D05B9E">
              <w:rPr>
                <w:rFonts w:ascii="Trebuchet MS" w:hAnsi="Trebuchet MS"/>
                <w:sz w:val="16"/>
                <w:szCs w:val="24"/>
              </w:rPr>
              <w:t> </w:t>
            </w:r>
          </w:p>
        </w:tc>
      </w:tr>
    </w:tbl>
    <w:p w:rsidR="00D05B9E" w:rsidRPr="00D05B9E" w:rsidRDefault="00D05B9E" w:rsidP="00D05B9E">
      <w:pPr>
        <w:spacing w:after="0" w:line="240" w:lineRule="auto"/>
        <w:contextualSpacing/>
        <w:rPr>
          <w:color w:val="FFFFFF" w:themeColor="background1"/>
        </w:rPr>
      </w:pPr>
      <w:r w:rsidRPr="00D05B9E">
        <w:rPr>
          <w:noProof/>
          <w:color w:val="FFFFFF" w:themeColor="background1"/>
          <w:lang w:eastAsia="es-MX"/>
        </w:rPr>
        <mc:AlternateContent>
          <mc:Choice Requires="wps">
            <w:drawing>
              <wp:anchor distT="0" distB="0" distL="114300" distR="114300" simplePos="0" relativeHeight="251661312" behindDoc="0" locked="0" layoutInCell="1" allowOverlap="1" wp14:anchorId="60B10CAF" wp14:editId="034083F3">
                <wp:simplePos x="0" y="0"/>
                <wp:positionH relativeFrom="margin">
                  <wp:align>right</wp:align>
                </wp:positionH>
                <wp:positionV relativeFrom="paragraph">
                  <wp:posOffset>984885</wp:posOffset>
                </wp:positionV>
                <wp:extent cx="2562225" cy="7620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2225" cy="762000"/>
                        </a:xfrm>
                        <a:prstGeom prst="rect">
                          <a:avLst/>
                        </a:prstGeom>
                        <a:noFill/>
                        <a:ln w="9525" cmpd="sng">
                          <a:noFill/>
                        </a:ln>
                        <a:effectLst/>
                      </wps:spPr>
                      <wps:txbx>
                        <w:txbxContent>
                          <w:p w:rsidR="00D05B9E" w:rsidRPr="00D05B9E" w:rsidRDefault="00D05B9E" w:rsidP="00D05B9E">
                            <w:pPr>
                              <w:pStyle w:val="NormalWeb"/>
                              <w:spacing w:before="0" w:beforeAutospacing="0" w:after="0" w:afterAutospacing="0"/>
                              <w:jc w:val="center"/>
                            </w:pPr>
                            <w:r w:rsidRPr="00D05B9E">
                              <w:rPr>
                                <w:rFonts w:ascii="Trebuchet MS" w:hAnsi="Trebuchet MS"/>
                                <w:b/>
                                <w:bCs/>
                              </w:rPr>
                              <w:t>__________________________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C.P. JESÚS LOYOLA MARTÍNEZ</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DE PROGRAMACIÓN Y PRESUPUESTO</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margin-left:150.55pt;margin-top:77.55pt;width:201.75pt;height:6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" filled="f" stroked="f">
                <v:path arrowok="t"/>
                <v:textbox>
                  <w:txbxContent>
                    <w:p w:rsidR="00D05B9E" w:rsidRPr="00D05B9E" w:rsidRDefault="00D05B9E" w:rsidP="00D05B9E">
                      <w:pPr>
                        <w:pStyle w:val="NormalWeb"/>
                        <w:spacing w:before="0" w:beforeAutospacing="0" w:after="0" w:afterAutospacing="0"/>
                        <w:jc w:val="center"/>
                      </w:pPr>
                      <w:r w:rsidRPr="00D05B9E">
                        <w:rPr>
                          <w:rFonts w:ascii="Trebuchet MS" w:hAnsi="Trebuchet MS"/>
                          <w:b/>
                          <w:bCs/>
                        </w:rPr>
                        <w:t>__________________________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C.P. JESÚS LOYOLA MARTÍNEZ</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DE PROGRAMACIÓN Y PRESUPUESTO</w:t>
                      </w:r>
                    </w:p>
                  </w:txbxContent>
                </v:textbox>
                <w10:wrap anchorx="margin"/>
              </v:shape>
            </w:pict>
          </mc:Fallback>
        </mc:AlternateContent>
      </w:r>
      <w:r w:rsidRPr="00D05B9E">
        <w:rPr>
          <w:noProof/>
          <w:color w:val="FFFFFF" w:themeColor="background1"/>
          <w:lang w:eastAsia="es-MX"/>
        </w:rPr>
        <mc:AlternateContent>
          <mc:Choice Requires="wps">
            <w:drawing>
              <wp:anchor distT="0" distB="0" distL="114300" distR="114300" simplePos="0" relativeHeight="251659264" behindDoc="0" locked="0" layoutInCell="1" allowOverlap="1" wp14:anchorId="5D12A3BE" wp14:editId="2F209F25">
                <wp:simplePos x="0" y="0"/>
                <wp:positionH relativeFrom="column">
                  <wp:posOffset>1057275</wp:posOffset>
                </wp:positionH>
                <wp:positionV relativeFrom="paragraph">
                  <wp:posOffset>36830</wp:posOffset>
                </wp:positionV>
                <wp:extent cx="3396615" cy="838200"/>
                <wp:effectExtent l="0" t="0" r="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6615" cy="838200"/>
                        </a:xfrm>
                        <a:prstGeom prst="rect">
                          <a:avLst/>
                        </a:prstGeom>
                        <a:noFill/>
                        <a:ln w="9525" cmpd="sng">
                          <a:noFill/>
                        </a:ln>
                        <a:effectLst/>
                      </wps:spPr>
                      <wps:txbx>
                        <w:txbxContent>
                          <w:p w:rsidR="00D05B9E" w:rsidRPr="00503034" w:rsidRDefault="00D05B9E" w:rsidP="00D05B9E">
                            <w:pPr>
                              <w:pStyle w:val="NormalWeb"/>
                              <w:spacing w:before="0" w:beforeAutospacing="0" w:after="0" w:afterAutospacing="0"/>
                              <w:jc w:val="center"/>
                              <w:rPr>
                                <w:color w:val="FFFFFF" w:themeColor="background1"/>
                              </w:rPr>
                            </w:pPr>
                            <w:r w:rsidRPr="00503034">
                              <w:rPr>
                                <w:rFonts w:ascii="Trebuchet MS" w:hAnsi="Trebuchet MS"/>
                                <w:b/>
                                <w:bCs/>
                                <w:color w:val="FFFFFF" w:themeColor="background1"/>
                              </w:rPr>
                              <w:t>__</w:t>
                            </w:r>
                            <w:r w:rsidRPr="00D05B9E">
                              <w:rPr>
                                <w:rFonts w:ascii="Trebuchet MS" w:hAnsi="Trebuchet MS"/>
                                <w:b/>
                                <w:bCs/>
                              </w:rPr>
                              <w:t>______________________________</w:t>
                            </w:r>
                            <w:r w:rsidRPr="00503034">
                              <w:rPr>
                                <w:rFonts w:ascii="Trebuchet MS" w:hAnsi="Trebuchet MS"/>
                                <w:b/>
                                <w:bCs/>
                                <w:color w:val="FFFFFF" w:themeColor="background1"/>
                              </w:rPr>
                              <w:t>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Mtro. OCTAVIO ROSALES GUTIÉRREZ</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GENERAL DE ADMINISTRACIÓN</w:t>
                            </w:r>
                          </w:p>
                          <w:p w:rsidR="00D05B9E" w:rsidRPr="00D05B9E" w:rsidRDefault="00D05B9E" w:rsidP="00D05B9E">
                            <w:pPr>
                              <w:pStyle w:val="NormalWeb"/>
                              <w:spacing w:before="0" w:beforeAutospacing="0" w:after="0" w:afterAutospacing="0"/>
                              <w:jc w:val="center"/>
                            </w:pPr>
                            <w:r w:rsidRPr="00D05B9E">
                              <w:rPr>
                                <w:rFonts w:ascii="Calibri" w:hAnsi="Calibri"/>
                                <w:b/>
                                <w:bCs/>
                                <w:sz w:val="22"/>
                                <w:szCs w:val="22"/>
                              </w:rPr>
                              <w:tab/>
                            </w:r>
                          </w:p>
                        </w:txbxContent>
                      </wps:txbx>
                      <wps:bodyPr vertOverflow="clip" horzOverflow="clip" wrap="square" rtlCol="0" anchor="t">
                        <a:noAutofit/>
                      </wps:bodyPr>
                    </wps:wsp>
                  </a:graphicData>
                </a:graphic>
                <wp14:sizeRelH relativeFrom="page">
                  <wp14:pctWidth>0</wp14:pctWidth>
                </wp14:sizeRelH>
                <wp14:sizeRelV relativeFrom="margin">
                  <wp14:pctHeight>0</wp14:pctHeight>
                </wp14:sizeRelV>
              </wp:anchor>
            </w:drawing>
          </mc:Choice>
          <mc:Fallback>
            <w:pict>
              <v:shape id="Cuadro de texto 13" o:spid="_x0000_s1027" type="#_x0000_t202" style="position:absolute;margin-left:83.25pt;margin-top:2.9pt;width:267.4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" filled="f" stroked="f">
                <v:path arrowok="t"/>
                <v:textbox>
                  <w:txbxContent>
                    <w:p w:rsidR="00D05B9E" w:rsidRPr="00503034" w:rsidRDefault="00D05B9E" w:rsidP="00D05B9E">
                      <w:pPr>
                        <w:pStyle w:val="NormalWeb"/>
                        <w:spacing w:before="0" w:beforeAutospacing="0" w:after="0" w:afterAutospacing="0"/>
                        <w:jc w:val="center"/>
                        <w:rPr>
                          <w:color w:val="FFFFFF" w:themeColor="background1"/>
                        </w:rPr>
                      </w:pPr>
                      <w:r w:rsidRPr="00503034">
                        <w:rPr>
                          <w:rFonts w:ascii="Trebuchet MS" w:hAnsi="Trebuchet MS"/>
                          <w:b/>
                          <w:bCs/>
                          <w:color w:val="FFFFFF" w:themeColor="background1"/>
                        </w:rPr>
                        <w:t>__</w:t>
                      </w:r>
                      <w:r w:rsidRPr="00D05B9E">
                        <w:rPr>
                          <w:rFonts w:ascii="Trebuchet MS" w:hAnsi="Trebuchet MS"/>
                          <w:b/>
                          <w:bCs/>
                        </w:rPr>
                        <w:t>______________________________</w:t>
                      </w:r>
                      <w:r w:rsidRPr="00503034">
                        <w:rPr>
                          <w:rFonts w:ascii="Trebuchet MS" w:hAnsi="Trebuchet MS"/>
                          <w:b/>
                          <w:bCs/>
                          <w:color w:val="FFFFFF" w:themeColor="background1"/>
                        </w:rPr>
                        <w:t>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Mtro. OCTAVIO ROSALES GUTIÉRREZ</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GENERAL DE ADMINISTRACIÓN</w:t>
                      </w:r>
                    </w:p>
                    <w:p w:rsidR="00D05B9E" w:rsidRPr="00D05B9E" w:rsidRDefault="00D05B9E" w:rsidP="00D05B9E">
                      <w:pPr>
                        <w:pStyle w:val="NormalWeb"/>
                        <w:spacing w:before="0" w:beforeAutospacing="0" w:after="0" w:afterAutospacing="0"/>
                        <w:jc w:val="center"/>
                      </w:pPr>
                      <w:r w:rsidRPr="00D05B9E">
                        <w:rPr>
                          <w:rFonts w:ascii="Calibri" w:hAnsi="Calibri"/>
                          <w:b/>
                          <w:bCs/>
                          <w:sz w:val="22"/>
                          <w:szCs w:val="22"/>
                        </w:rPr>
                        <w:tab/>
                      </w:r>
                    </w:p>
                  </w:txbxContent>
                </v:textbox>
              </v:shape>
            </w:pict>
          </mc:Fallback>
        </mc:AlternateContent>
      </w:r>
      <w:r w:rsidRPr="00D05B9E">
        <w:rPr>
          <w:noProof/>
          <w:color w:val="FFFFFF" w:themeColor="background1"/>
          <w:lang w:eastAsia="es-MX"/>
        </w:rPr>
        <mc:AlternateContent>
          <mc:Choice Requires="wps">
            <w:drawing>
              <wp:anchor distT="0" distB="0" distL="114300" distR="114300" simplePos="0" relativeHeight="251660288" behindDoc="0" locked="0" layoutInCell="1" allowOverlap="1" wp14:anchorId="1186273C" wp14:editId="629BE5A3">
                <wp:simplePos x="0" y="0"/>
                <wp:positionH relativeFrom="column">
                  <wp:posOffset>100965</wp:posOffset>
                </wp:positionH>
                <wp:positionV relativeFrom="paragraph">
                  <wp:posOffset>988060</wp:posOffset>
                </wp:positionV>
                <wp:extent cx="2676525" cy="752475"/>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6525" cy="752475"/>
                        </a:xfrm>
                        <a:prstGeom prst="rect">
                          <a:avLst/>
                        </a:prstGeom>
                        <a:noFill/>
                        <a:ln w="9525" cmpd="sng">
                          <a:noFill/>
                        </a:ln>
                        <a:effectLst/>
                      </wps:spPr>
                      <wps:txbx>
                        <w:txbxContent>
                          <w:p w:rsidR="00D05B9E" w:rsidRPr="00D05B9E" w:rsidRDefault="00D05B9E" w:rsidP="00D05B9E">
                            <w:pPr>
                              <w:pStyle w:val="NormalWeb"/>
                              <w:spacing w:before="0" w:beforeAutospacing="0" w:after="0" w:afterAutospacing="0"/>
                              <w:jc w:val="center"/>
                            </w:pPr>
                            <w:r w:rsidRPr="00D05B9E">
                              <w:rPr>
                                <w:rFonts w:ascii="Trebuchet MS" w:hAnsi="Trebuchet MS"/>
                                <w:b/>
                                <w:bCs/>
                              </w:rPr>
                              <w:t>___________________________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C.P. MOISÉS ESTUDILLO SAN MARTIN</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DE CONTABILIDAD Y FINANZAS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8" type="#_x0000_t202" style="position:absolute;margin-left:7.95pt;margin-top:77.8pt;width:210.7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" filled="f" stroked="f">
                <v:path arrowok="t"/>
                <v:textbox>
                  <w:txbxContent>
                    <w:p w:rsidR="00D05B9E" w:rsidRPr="00D05B9E" w:rsidRDefault="00D05B9E" w:rsidP="00D05B9E">
                      <w:pPr>
                        <w:pStyle w:val="NormalWeb"/>
                        <w:spacing w:before="0" w:beforeAutospacing="0" w:after="0" w:afterAutospacing="0"/>
                        <w:jc w:val="center"/>
                      </w:pPr>
                      <w:r w:rsidRPr="00D05B9E">
                        <w:rPr>
                          <w:rFonts w:ascii="Trebuchet MS" w:hAnsi="Trebuchet MS"/>
                          <w:b/>
                          <w:bCs/>
                        </w:rPr>
                        <w:t>___________________________</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C.P. MOISÉS ESTUDILLO SAN MARTIN</w:t>
                      </w:r>
                    </w:p>
                    <w:p w:rsidR="00D05B9E" w:rsidRPr="00D05B9E" w:rsidRDefault="00D05B9E" w:rsidP="00D05B9E">
                      <w:pPr>
                        <w:pStyle w:val="NormalWeb"/>
                        <w:spacing w:before="0" w:beforeAutospacing="0" w:after="0" w:afterAutospacing="0"/>
                        <w:jc w:val="center"/>
                        <w:rPr>
                          <w:rFonts w:ascii="Trebuchet MS" w:hAnsi="Trebuchet MS"/>
                          <w:sz w:val="22"/>
                        </w:rPr>
                      </w:pPr>
                      <w:r w:rsidRPr="00D05B9E">
                        <w:rPr>
                          <w:rFonts w:ascii="Trebuchet MS" w:hAnsi="Trebuchet MS"/>
                          <w:b/>
                          <w:bCs/>
                          <w:sz w:val="20"/>
                          <w:szCs w:val="22"/>
                        </w:rPr>
                        <w:t>DIRECTOR DE CONTABILIDAD Y FINANZAS</w:t>
                      </w:r>
                    </w:p>
                  </w:txbxContent>
                </v:textbox>
              </v:shape>
            </w:pict>
          </mc:Fallback>
        </mc:AlternateContent>
      </w:r>
    </w:p>
    <w:p w:rsidR="00D05B9E" w:rsidRPr="00D05B9E" w:rsidRDefault="00D05B9E" w:rsidP="00D05B9E">
      <w:pPr>
        <w:spacing w:before="240" w:after="60" w:line="240" w:lineRule="auto"/>
        <w:jc w:val="both"/>
        <w:outlineLvl w:val="0"/>
        <w:rPr>
          <w:rFonts w:ascii="Cambria" w:eastAsia="Times New Roman" w:hAnsi="Cambria" w:cs="Times New Roman"/>
          <w:b/>
          <w:bCs/>
          <w:color w:val="FFFFFF" w:themeColor="background1"/>
          <w:kern w:val="28"/>
          <w:sz w:val="32"/>
          <w:szCs w:val="32"/>
          <w:lang w:eastAsia="es-ES"/>
        </w:rPr>
      </w:pPr>
      <w:r w:rsidRPr="00D05B9E">
        <w:rPr>
          <w:rFonts w:ascii="Soberana Sans Light" w:eastAsia="Times New Roman" w:hAnsi="Soberana Sans Light" w:cs="Times New Roman"/>
          <w:b/>
          <w:bCs/>
          <w:noProof/>
          <w:color w:val="FFFFFF" w:themeColor="background1"/>
          <w:kern w:val="28"/>
          <w:sz w:val="32"/>
          <w:szCs w:val="32"/>
          <w:lang w:val="es-ES" w:eastAsia="es-MX"/>
        </w:rPr>
        <mc:AlternateContent>
          <mc:Choice Requires="wps">
            <w:drawing>
              <wp:anchor distT="0" distB="0" distL="114300" distR="114300" simplePos="0" relativeHeight="251677696" behindDoc="0" locked="0" layoutInCell="1" allowOverlap="1" wp14:anchorId="626FE22A" wp14:editId="7944624F">
                <wp:simplePos x="0" y="0"/>
                <wp:positionH relativeFrom="column">
                  <wp:posOffset>-787179</wp:posOffset>
                </wp:positionH>
                <wp:positionV relativeFrom="paragraph">
                  <wp:posOffset>3306169</wp:posOffset>
                </wp:positionV>
                <wp:extent cx="7505700" cy="0"/>
                <wp:effectExtent l="0" t="0" r="19050" b="19050"/>
                <wp:wrapNone/>
                <wp:docPr id="44" name="44 Conector recto"/>
                <wp:cNvGraphicFramePr/>
                <a:graphic xmlns:a="http://schemas.openxmlformats.org/drawingml/2006/main">
                  <a:graphicData uri="http://schemas.microsoft.com/office/word/2010/wordprocessingShape">
                    <wps:wsp>
                      <wps:cNvCnPr/>
                      <wps:spPr>
                        <a:xfrm>
                          <a:off x="0" y="0"/>
                          <a:ext cx="7505700" cy="0"/>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44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260.35pt" to="529pt,2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" strokecolor="#0070c0" strokeweight="1.5pt"/>
            </w:pict>
          </mc:Fallback>
        </mc:AlternateContent>
      </w:r>
    </w:p>
    <w:p w:rsidR="001E1EFD" w:rsidRDefault="001E1EFD"/>
    <w:sectPr w:rsidR="001E1EF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E9D" w:rsidRDefault="00796E9D" w:rsidP="00D05B9E">
      <w:pPr>
        <w:spacing w:after="0" w:line="240" w:lineRule="auto"/>
      </w:pPr>
      <w:r>
        <w:separator/>
      </w:r>
    </w:p>
  </w:endnote>
  <w:endnote w:type="continuationSeparator" w:id="0">
    <w:p w:rsidR="00796E9D" w:rsidRDefault="00796E9D" w:rsidP="00D05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E9D" w:rsidRDefault="00796E9D" w:rsidP="00D05B9E">
      <w:pPr>
        <w:spacing w:after="0" w:line="240" w:lineRule="auto"/>
      </w:pPr>
      <w:r>
        <w:separator/>
      </w:r>
    </w:p>
  </w:footnote>
  <w:footnote w:type="continuationSeparator" w:id="0">
    <w:p w:rsidR="00796E9D" w:rsidRDefault="00796E9D" w:rsidP="00D05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B9E" w:rsidRDefault="00D05B9E">
    <w:pPr>
      <w:pStyle w:val="Encabezado"/>
    </w:pPr>
    <w:r>
      <w:rPr>
        <w:noProof/>
        <w:lang w:eastAsia="es-MX"/>
      </w:rPr>
      <w:drawing>
        <wp:inline distT="0" distB="0" distL="0" distR="0">
          <wp:extent cx="533400" cy="531891"/>
          <wp:effectExtent l="0" t="0" r="0" b="190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ino_01.jpg"/>
                  <pic:cNvPicPr/>
                </pic:nvPicPr>
                <pic:blipFill>
                  <a:blip r:embed="rId1">
                    <a:extLst>
                      <a:ext uri="{28A0092B-C50C-407E-A947-70E740481C1C}">
                        <a14:useLocalDpi xmlns:a14="http://schemas.microsoft.com/office/drawing/2010/main" val="0"/>
                      </a:ext>
                    </a:extLst>
                  </a:blip>
                  <a:stretch>
                    <a:fillRect/>
                  </a:stretch>
                </pic:blipFill>
                <pic:spPr>
                  <a:xfrm>
                    <a:off x="0" y="0"/>
                    <a:ext cx="534488" cy="53297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23A8C"/>
    <w:multiLevelType w:val="hybridMultilevel"/>
    <w:tmpl w:val="7542EFF2"/>
    <w:lvl w:ilvl="0" w:tplc="85520392">
      <w:start w:val="1"/>
      <w:numFmt w:val="bullet"/>
      <w:lvlText w:val="-"/>
      <w:lvlJc w:val="left"/>
      <w:pPr>
        <w:ind w:left="780" w:hanging="360"/>
      </w:pPr>
      <w:rPr>
        <w:rFonts w:ascii="Trebuchet MS" w:eastAsia="Times New Roman" w:hAnsi="Trebuchet MS" w:cs="Tahoma"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nsid w:val="22A4208E"/>
    <w:multiLevelType w:val="hybridMultilevel"/>
    <w:tmpl w:val="2BBA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94C36DB"/>
    <w:multiLevelType w:val="hybridMultilevel"/>
    <w:tmpl w:val="2850032A"/>
    <w:lvl w:ilvl="0" w:tplc="1C06647A">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9E"/>
    <w:rsid w:val="001E1EFD"/>
    <w:rsid w:val="00796E9D"/>
    <w:rsid w:val="00D05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05B9E"/>
    <w:pPr>
      <w:keepNext/>
      <w:framePr w:hSpace="141" w:wrap="notBeside" w:vAnchor="text" w:hAnchor="margin" w:y="-178"/>
      <w:spacing w:after="0" w:line="240" w:lineRule="auto"/>
      <w:ind w:left="90" w:right="90"/>
      <w:jc w:val="center"/>
      <w:outlineLvl w:val="0"/>
    </w:pPr>
    <w:rPr>
      <w:rFonts w:ascii="Arial" w:eastAsia="Times New Roman" w:hAnsi="Arial" w:cs="Arial"/>
      <w:sz w:val="30"/>
      <w:szCs w:val="24"/>
      <w:lang w:val="es-ES" w:eastAsia="es-ES"/>
    </w:rPr>
  </w:style>
  <w:style w:type="paragraph" w:styleId="Ttulo2">
    <w:name w:val="heading 2"/>
    <w:basedOn w:val="Normal"/>
    <w:next w:val="Normal"/>
    <w:link w:val="Ttulo2Car"/>
    <w:qFormat/>
    <w:rsid w:val="00D05B9E"/>
    <w:pPr>
      <w:keepNext/>
      <w:spacing w:after="0" w:line="360" w:lineRule="auto"/>
      <w:jc w:val="center"/>
      <w:outlineLvl w:val="1"/>
    </w:pPr>
    <w:rPr>
      <w:rFonts w:ascii="Times New Roman" w:eastAsia="Times New Roman" w:hAnsi="Times New Roman" w:cs="Times New Roman"/>
      <w:b/>
      <w:sz w:val="20"/>
      <w:szCs w:val="20"/>
      <w:lang w:val="es-ES" w:eastAsia="es-ES"/>
    </w:rPr>
  </w:style>
  <w:style w:type="paragraph" w:styleId="Ttulo3">
    <w:name w:val="heading 3"/>
    <w:basedOn w:val="Normal"/>
    <w:next w:val="Normal"/>
    <w:link w:val="Ttulo3Car"/>
    <w:qFormat/>
    <w:rsid w:val="00D05B9E"/>
    <w:pPr>
      <w:keepNext/>
      <w:spacing w:after="0" w:line="240" w:lineRule="auto"/>
      <w:outlineLvl w:val="2"/>
    </w:pPr>
    <w:rPr>
      <w:rFonts w:ascii="Times New Roman" w:eastAsia="Times New Roman" w:hAnsi="Times New Roman" w:cs="Times New Roman"/>
      <w:b/>
      <w:sz w:val="24"/>
      <w:szCs w:val="20"/>
      <w:lang w:val="es-ES" w:eastAsia="es-ES"/>
    </w:rPr>
  </w:style>
  <w:style w:type="paragraph" w:styleId="Ttulo4">
    <w:name w:val="heading 4"/>
    <w:basedOn w:val="Normal"/>
    <w:next w:val="Normal"/>
    <w:link w:val="Ttulo4Car"/>
    <w:qFormat/>
    <w:rsid w:val="00D05B9E"/>
    <w:pPr>
      <w:keepNext/>
      <w:spacing w:after="0" w:line="240" w:lineRule="auto"/>
      <w:jc w:val="center"/>
      <w:outlineLvl w:val="3"/>
    </w:pPr>
    <w:rPr>
      <w:rFonts w:ascii="Times New Roman" w:eastAsia="Times New Roman" w:hAnsi="Times New Roman" w:cs="Times New Roman"/>
      <w:b/>
      <w:sz w:val="24"/>
      <w:szCs w:val="20"/>
      <w:lang w:val="es-ES" w:eastAsia="es-ES"/>
    </w:rPr>
  </w:style>
  <w:style w:type="paragraph" w:styleId="Ttulo5">
    <w:name w:val="heading 5"/>
    <w:basedOn w:val="Normal"/>
    <w:next w:val="Normal"/>
    <w:link w:val="Ttulo5Car"/>
    <w:qFormat/>
    <w:rsid w:val="00D05B9E"/>
    <w:pPr>
      <w:keepNext/>
      <w:spacing w:after="0" w:line="240" w:lineRule="auto"/>
      <w:ind w:left="705" w:hanging="705"/>
      <w:outlineLvl w:val="4"/>
    </w:pPr>
    <w:rPr>
      <w:rFonts w:ascii="Times New Roman" w:eastAsia="Times New Roman" w:hAnsi="Times New Roman" w:cs="Times New Roman"/>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B9E"/>
  </w:style>
  <w:style w:type="paragraph" w:styleId="Piedepgina">
    <w:name w:val="footer"/>
    <w:basedOn w:val="Normal"/>
    <w:link w:val="PiedepginaCar"/>
    <w:uiPriority w:val="99"/>
    <w:unhideWhenUsed/>
    <w:rsid w:val="00D05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B9E"/>
  </w:style>
  <w:style w:type="paragraph" w:styleId="Textodeglobo">
    <w:name w:val="Balloon Text"/>
    <w:basedOn w:val="Normal"/>
    <w:link w:val="TextodegloboCar"/>
    <w:uiPriority w:val="99"/>
    <w:unhideWhenUsed/>
    <w:rsid w:val="00D05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05B9E"/>
    <w:rPr>
      <w:rFonts w:ascii="Tahoma" w:hAnsi="Tahoma" w:cs="Tahoma"/>
      <w:sz w:val="16"/>
      <w:szCs w:val="16"/>
    </w:rPr>
  </w:style>
  <w:style w:type="character" w:customStyle="1" w:styleId="Ttulo1Car">
    <w:name w:val="Título 1 Car"/>
    <w:basedOn w:val="Fuentedeprrafopredeter"/>
    <w:link w:val="Ttulo1"/>
    <w:rsid w:val="00D05B9E"/>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D05B9E"/>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D05B9E"/>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D05B9E"/>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D05B9E"/>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unhideWhenUsed/>
    <w:rsid w:val="00D05B9E"/>
    <w:pPr>
      <w:spacing w:after="0" w:line="240" w:lineRule="auto"/>
    </w:pPr>
    <w:rPr>
      <w:sz w:val="20"/>
      <w:szCs w:val="20"/>
    </w:rPr>
  </w:style>
  <w:style w:type="character" w:customStyle="1" w:styleId="TextonotapieCar">
    <w:name w:val="Texto nota pie Car"/>
    <w:basedOn w:val="Fuentedeprrafopredeter"/>
    <w:link w:val="Textonotapie"/>
    <w:uiPriority w:val="99"/>
    <w:rsid w:val="00D05B9E"/>
    <w:rPr>
      <w:sz w:val="20"/>
      <w:szCs w:val="20"/>
    </w:rPr>
  </w:style>
  <w:style w:type="character" w:styleId="Refdenotaalpie">
    <w:name w:val="footnote reference"/>
    <w:basedOn w:val="Fuentedeprrafopredeter"/>
    <w:uiPriority w:val="99"/>
    <w:unhideWhenUsed/>
    <w:rsid w:val="00D05B9E"/>
    <w:rPr>
      <w:vertAlign w:val="superscript"/>
    </w:rPr>
  </w:style>
  <w:style w:type="paragraph" w:customStyle="1" w:styleId="Texto">
    <w:name w:val="Texto"/>
    <w:basedOn w:val="Normal"/>
    <w:link w:val="TextoCar"/>
    <w:qFormat/>
    <w:rsid w:val="00D05B9E"/>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D05B9E"/>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D05B9E"/>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D05B9E"/>
    <w:rPr>
      <w:rFonts w:ascii="Arial" w:eastAsia="Times New Roman" w:hAnsi="Arial" w:cs="Arial"/>
      <w:sz w:val="18"/>
      <w:szCs w:val="20"/>
      <w:lang w:val="es-ES" w:eastAsia="es-ES"/>
    </w:rPr>
  </w:style>
  <w:style w:type="paragraph" w:styleId="Prrafodelista">
    <w:name w:val="List Paragraph"/>
    <w:basedOn w:val="Normal"/>
    <w:uiPriority w:val="34"/>
    <w:qFormat/>
    <w:rsid w:val="00D05B9E"/>
    <w:pPr>
      <w:ind w:left="720"/>
      <w:contextualSpacing/>
    </w:pPr>
  </w:style>
  <w:style w:type="paragraph" w:styleId="Sinespaciado">
    <w:name w:val="No Spacing"/>
    <w:uiPriority w:val="1"/>
    <w:qFormat/>
    <w:rsid w:val="00D05B9E"/>
    <w:pPr>
      <w:spacing w:after="0" w:line="240" w:lineRule="auto"/>
    </w:pPr>
  </w:style>
  <w:style w:type="character" w:customStyle="1" w:styleId="ROMANOSCar">
    <w:name w:val="ROMANOS Car"/>
    <w:link w:val="ROMANOS"/>
    <w:locked/>
    <w:rsid w:val="00D05B9E"/>
    <w:rPr>
      <w:rFonts w:ascii="Arial" w:eastAsia="Times New Roman" w:hAnsi="Arial" w:cs="Arial"/>
      <w:sz w:val="18"/>
      <w:szCs w:val="18"/>
      <w:lang w:val="es-ES" w:eastAsia="es-ES"/>
    </w:rPr>
  </w:style>
  <w:style w:type="paragraph" w:styleId="NormalWeb">
    <w:name w:val="Normal (Web)"/>
    <w:basedOn w:val="Normal"/>
    <w:uiPriority w:val="99"/>
    <w:unhideWhenUsed/>
    <w:rsid w:val="00D05B9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angra2detindependiente">
    <w:name w:val="Body Text Indent 2"/>
    <w:basedOn w:val="Normal"/>
    <w:link w:val="Sangra2detindependienteCar"/>
    <w:rsid w:val="00D05B9E"/>
    <w:pPr>
      <w:spacing w:after="0" w:line="240" w:lineRule="auto"/>
      <w:ind w:firstLine="709"/>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D05B9E"/>
    <w:rPr>
      <w:rFonts w:ascii="Arial" w:eastAsia="Times New Roman" w:hAnsi="Arial" w:cs="Times New Roman"/>
      <w:sz w:val="24"/>
      <w:szCs w:val="20"/>
      <w:lang w:eastAsia="es-ES"/>
    </w:rPr>
  </w:style>
  <w:style w:type="paragraph" w:styleId="Textoindependiente3">
    <w:name w:val="Body Text 3"/>
    <w:basedOn w:val="Normal"/>
    <w:link w:val="Textoindependiente3Car"/>
    <w:rsid w:val="00D05B9E"/>
    <w:pPr>
      <w:spacing w:after="0" w:line="240" w:lineRule="auto"/>
      <w:jc w:val="both"/>
    </w:pPr>
    <w:rPr>
      <w:rFonts w:ascii="Arial" w:eastAsia="Times New Roman" w:hAnsi="Arial" w:cs="Times New Roman"/>
      <w:sz w:val="24"/>
      <w:szCs w:val="20"/>
      <w:lang w:eastAsia="es-ES"/>
    </w:rPr>
  </w:style>
  <w:style w:type="character" w:customStyle="1" w:styleId="Textoindependiente3Car">
    <w:name w:val="Texto independiente 3 Car"/>
    <w:basedOn w:val="Fuentedeprrafopredeter"/>
    <w:link w:val="Textoindependiente3"/>
    <w:rsid w:val="00D05B9E"/>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D05B9E"/>
    <w:pPr>
      <w:spacing w:after="0" w:line="240" w:lineRule="auto"/>
      <w:ind w:firstLine="70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D05B9E"/>
    <w:rPr>
      <w:rFonts w:ascii="Times New Roman" w:eastAsia="Times New Roman" w:hAnsi="Times New Roman" w:cs="Times New Roman"/>
      <w:sz w:val="24"/>
      <w:szCs w:val="20"/>
      <w:lang w:val="es-ES" w:eastAsia="es-ES"/>
    </w:rPr>
  </w:style>
  <w:style w:type="character" w:styleId="Hipervnculo">
    <w:name w:val="Hyperlink"/>
    <w:rsid w:val="00D05B9E"/>
    <w:rPr>
      <w:color w:val="0000FF"/>
      <w:u w:val="single"/>
    </w:rPr>
  </w:style>
  <w:style w:type="character" w:styleId="Hipervnculovisitado">
    <w:name w:val="FollowedHyperlink"/>
    <w:rsid w:val="00D05B9E"/>
    <w:rPr>
      <w:color w:val="800080"/>
      <w:u w:val="single"/>
    </w:rPr>
  </w:style>
  <w:style w:type="paragraph" w:styleId="Textoindependiente2">
    <w:name w:val="Body Text 2"/>
    <w:basedOn w:val="Normal"/>
    <w:link w:val="Textoindependiente2Car"/>
    <w:rsid w:val="00D05B9E"/>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D05B9E"/>
    <w:rPr>
      <w:rFonts w:ascii="Times New Roman" w:eastAsia="Times New Roman" w:hAnsi="Times New Roman" w:cs="Times New Roman"/>
      <w:sz w:val="24"/>
      <w:szCs w:val="24"/>
      <w:lang w:val="es-ES" w:eastAsia="es-ES"/>
    </w:rPr>
  </w:style>
  <w:style w:type="character" w:styleId="Refdecomentario">
    <w:name w:val="annotation reference"/>
    <w:semiHidden/>
    <w:rsid w:val="00D05B9E"/>
    <w:rPr>
      <w:sz w:val="16"/>
      <w:szCs w:val="16"/>
    </w:rPr>
  </w:style>
  <w:style w:type="paragraph" w:styleId="Textocomentario">
    <w:name w:val="annotation text"/>
    <w:basedOn w:val="Normal"/>
    <w:link w:val="TextocomentarioCar"/>
    <w:semiHidden/>
    <w:rsid w:val="00D05B9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D05B9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D05B9E"/>
    <w:pPr>
      <w:spacing w:after="0" w:line="240" w:lineRule="auto"/>
      <w:ind w:left="705" w:hanging="705"/>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D05B9E"/>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D05B9E"/>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D05B9E"/>
    <w:rPr>
      <w:rFonts w:ascii="Arial" w:eastAsia="Times New Roman" w:hAnsi="Arial" w:cs="Arial"/>
      <w:sz w:val="24"/>
      <w:szCs w:val="24"/>
      <w:lang w:val="es-ES" w:eastAsia="es-ES"/>
    </w:rPr>
  </w:style>
  <w:style w:type="numbering" w:customStyle="1" w:styleId="Sinlista1">
    <w:name w:val="Sin lista1"/>
    <w:next w:val="Sinlista"/>
    <w:uiPriority w:val="99"/>
    <w:semiHidden/>
    <w:rsid w:val="00D05B9E"/>
  </w:style>
  <w:style w:type="numbering" w:customStyle="1" w:styleId="Sinlista2">
    <w:name w:val="Sin lista2"/>
    <w:next w:val="Sinlista"/>
    <w:uiPriority w:val="99"/>
    <w:semiHidden/>
    <w:rsid w:val="00D05B9E"/>
  </w:style>
  <w:style w:type="paragraph" w:styleId="Lista">
    <w:name w:val="List"/>
    <w:basedOn w:val="Normal"/>
    <w:rsid w:val="00D05B9E"/>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rsid w:val="00D05B9E"/>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Continuarlista">
    <w:name w:val="List Continue"/>
    <w:basedOn w:val="Normal"/>
    <w:rsid w:val="00D05B9E"/>
    <w:pPr>
      <w:spacing w:after="120" w:line="240" w:lineRule="auto"/>
      <w:ind w:left="283"/>
      <w:contextualSpacing/>
    </w:pPr>
    <w:rPr>
      <w:rFonts w:ascii="Times New Roman" w:eastAsia="Times New Roman" w:hAnsi="Times New Roman" w:cs="Times New Roman"/>
      <w:sz w:val="20"/>
      <w:szCs w:val="20"/>
      <w:lang w:val="es-ES" w:eastAsia="es-ES"/>
    </w:rPr>
  </w:style>
  <w:style w:type="paragraph" w:styleId="Continuarlista2">
    <w:name w:val="List Continue 2"/>
    <w:basedOn w:val="Normal"/>
    <w:rsid w:val="00D05B9E"/>
    <w:pPr>
      <w:spacing w:after="120" w:line="240" w:lineRule="auto"/>
      <w:ind w:left="566"/>
      <w:contextualSpacing/>
    </w:pPr>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D05B9E"/>
    <w:pPr>
      <w:spacing w:after="0" w:line="240" w:lineRule="auto"/>
    </w:pPr>
    <w:rPr>
      <w:rFonts w:ascii="Times New Roman" w:eastAsia="Times New Roman" w:hAnsi="Times New Roman" w:cs="Times New Roman"/>
      <w:b/>
      <w:bCs/>
      <w:sz w:val="20"/>
      <w:szCs w:val="20"/>
      <w:lang w:val="es-ES" w:eastAsia="es-ES"/>
    </w:rPr>
  </w:style>
  <w:style w:type="paragraph" w:styleId="Ttulo">
    <w:name w:val="Title"/>
    <w:basedOn w:val="Normal"/>
    <w:next w:val="Normal"/>
    <w:link w:val="TtuloCar"/>
    <w:qFormat/>
    <w:rsid w:val="00D05B9E"/>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D05B9E"/>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D05B9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D05B9E"/>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0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D05B9E"/>
    <w:rPr>
      <w:i/>
      <w:iCs/>
    </w:rPr>
  </w:style>
  <w:style w:type="numbering" w:customStyle="1" w:styleId="Sinlista3">
    <w:name w:val="Sin lista3"/>
    <w:next w:val="Sinlista"/>
    <w:uiPriority w:val="99"/>
    <w:semiHidden/>
    <w:rsid w:val="00D05B9E"/>
  </w:style>
  <w:style w:type="paragraph" w:styleId="Asuntodelcomentario">
    <w:name w:val="annotation subject"/>
    <w:basedOn w:val="Textocomentario"/>
    <w:next w:val="Textocomentario"/>
    <w:link w:val="AsuntodelcomentarioCar"/>
    <w:rsid w:val="00D05B9E"/>
    <w:rPr>
      <w:b/>
      <w:bCs/>
    </w:rPr>
  </w:style>
  <w:style w:type="character" w:customStyle="1" w:styleId="AsuntodelcomentarioCar">
    <w:name w:val="Asunto del comentario Car"/>
    <w:basedOn w:val="TextocomentarioCar"/>
    <w:link w:val="Asuntodelcomentario"/>
    <w:rsid w:val="00D05B9E"/>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D05B9E"/>
    <w:pPr>
      <w:keepNext/>
      <w:framePr w:hSpace="141" w:wrap="notBeside" w:vAnchor="text" w:hAnchor="margin" w:y="-178"/>
      <w:spacing w:after="0" w:line="240" w:lineRule="auto"/>
      <w:ind w:left="90" w:right="90"/>
      <w:jc w:val="center"/>
      <w:outlineLvl w:val="0"/>
    </w:pPr>
    <w:rPr>
      <w:rFonts w:ascii="Arial" w:eastAsia="Times New Roman" w:hAnsi="Arial" w:cs="Arial"/>
      <w:sz w:val="30"/>
      <w:szCs w:val="24"/>
      <w:lang w:val="es-ES" w:eastAsia="es-ES"/>
    </w:rPr>
  </w:style>
  <w:style w:type="paragraph" w:styleId="Ttulo2">
    <w:name w:val="heading 2"/>
    <w:basedOn w:val="Normal"/>
    <w:next w:val="Normal"/>
    <w:link w:val="Ttulo2Car"/>
    <w:qFormat/>
    <w:rsid w:val="00D05B9E"/>
    <w:pPr>
      <w:keepNext/>
      <w:spacing w:after="0" w:line="360" w:lineRule="auto"/>
      <w:jc w:val="center"/>
      <w:outlineLvl w:val="1"/>
    </w:pPr>
    <w:rPr>
      <w:rFonts w:ascii="Times New Roman" w:eastAsia="Times New Roman" w:hAnsi="Times New Roman" w:cs="Times New Roman"/>
      <w:b/>
      <w:sz w:val="20"/>
      <w:szCs w:val="20"/>
      <w:lang w:val="es-ES" w:eastAsia="es-ES"/>
    </w:rPr>
  </w:style>
  <w:style w:type="paragraph" w:styleId="Ttulo3">
    <w:name w:val="heading 3"/>
    <w:basedOn w:val="Normal"/>
    <w:next w:val="Normal"/>
    <w:link w:val="Ttulo3Car"/>
    <w:qFormat/>
    <w:rsid w:val="00D05B9E"/>
    <w:pPr>
      <w:keepNext/>
      <w:spacing w:after="0" w:line="240" w:lineRule="auto"/>
      <w:outlineLvl w:val="2"/>
    </w:pPr>
    <w:rPr>
      <w:rFonts w:ascii="Times New Roman" w:eastAsia="Times New Roman" w:hAnsi="Times New Roman" w:cs="Times New Roman"/>
      <w:b/>
      <w:sz w:val="24"/>
      <w:szCs w:val="20"/>
      <w:lang w:val="es-ES" w:eastAsia="es-ES"/>
    </w:rPr>
  </w:style>
  <w:style w:type="paragraph" w:styleId="Ttulo4">
    <w:name w:val="heading 4"/>
    <w:basedOn w:val="Normal"/>
    <w:next w:val="Normal"/>
    <w:link w:val="Ttulo4Car"/>
    <w:qFormat/>
    <w:rsid w:val="00D05B9E"/>
    <w:pPr>
      <w:keepNext/>
      <w:spacing w:after="0" w:line="240" w:lineRule="auto"/>
      <w:jc w:val="center"/>
      <w:outlineLvl w:val="3"/>
    </w:pPr>
    <w:rPr>
      <w:rFonts w:ascii="Times New Roman" w:eastAsia="Times New Roman" w:hAnsi="Times New Roman" w:cs="Times New Roman"/>
      <w:b/>
      <w:sz w:val="24"/>
      <w:szCs w:val="20"/>
      <w:lang w:val="es-ES" w:eastAsia="es-ES"/>
    </w:rPr>
  </w:style>
  <w:style w:type="paragraph" w:styleId="Ttulo5">
    <w:name w:val="heading 5"/>
    <w:basedOn w:val="Normal"/>
    <w:next w:val="Normal"/>
    <w:link w:val="Ttulo5Car"/>
    <w:qFormat/>
    <w:rsid w:val="00D05B9E"/>
    <w:pPr>
      <w:keepNext/>
      <w:spacing w:after="0" w:line="240" w:lineRule="auto"/>
      <w:ind w:left="705" w:hanging="705"/>
      <w:outlineLvl w:val="4"/>
    </w:pPr>
    <w:rPr>
      <w:rFonts w:ascii="Times New Roman" w:eastAsia="Times New Roman" w:hAnsi="Times New Roman" w:cs="Times New Roman"/>
      <w:b/>
      <w:bCs/>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5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5B9E"/>
  </w:style>
  <w:style w:type="paragraph" w:styleId="Piedepgina">
    <w:name w:val="footer"/>
    <w:basedOn w:val="Normal"/>
    <w:link w:val="PiedepginaCar"/>
    <w:uiPriority w:val="99"/>
    <w:unhideWhenUsed/>
    <w:rsid w:val="00D05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5B9E"/>
  </w:style>
  <w:style w:type="paragraph" w:styleId="Textodeglobo">
    <w:name w:val="Balloon Text"/>
    <w:basedOn w:val="Normal"/>
    <w:link w:val="TextodegloboCar"/>
    <w:uiPriority w:val="99"/>
    <w:unhideWhenUsed/>
    <w:rsid w:val="00D05B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D05B9E"/>
    <w:rPr>
      <w:rFonts w:ascii="Tahoma" w:hAnsi="Tahoma" w:cs="Tahoma"/>
      <w:sz w:val="16"/>
      <w:szCs w:val="16"/>
    </w:rPr>
  </w:style>
  <w:style w:type="character" w:customStyle="1" w:styleId="Ttulo1Car">
    <w:name w:val="Título 1 Car"/>
    <w:basedOn w:val="Fuentedeprrafopredeter"/>
    <w:link w:val="Ttulo1"/>
    <w:rsid w:val="00D05B9E"/>
    <w:rPr>
      <w:rFonts w:ascii="Arial" w:eastAsia="Times New Roman" w:hAnsi="Arial" w:cs="Arial"/>
      <w:sz w:val="30"/>
      <w:szCs w:val="24"/>
      <w:lang w:val="es-ES" w:eastAsia="es-ES"/>
    </w:rPr>
  </w:style>
  <w:style w:type="character" w:customStyle="1" w:styleId="Ttulo2Car">
    <w:name w:val="Título 2 Car"/>
    <w:basedOn w:val="Fuentedeprrafopredeter"/>
    <w:link w:val="Ttulo2"/>
    <w:rsid w:val="00D05B9E"/>
    <w:rPr>
      <w:rFonts w:ascii="Times New Roman" w:eastAsia="Times New Roman" w:hAnsi="Times New Roman" w:cs="Times New Roman"/>
      <w:b/>
      <w:sz w:val="20"/>
      <w:szCs w:val="20"/>
      <w:lang w:val="es-ES" w:eastAsia="es-ES"/>
    </w:rPr>
  </w:style>
  <w:style w:type="character" w:customStyle="1" w:styleId="Ttulo3Car">
    <w:name w:val="Título 3 Car"/>
    <w:basedOn w:val="Fuentedeprrafopredeter"/>
    <w:link w:val="Ttulo3"/>
    <w:rsid w:val="00D05B9E"/>
    <w:rPr>
      <w:rFonts w:ascii="Times New Roman" w:eastAsia="Times New Roman" w:hAnsi="Times New Roman" w:cs="Times New Roman"/>
      <w:b/>
      <w:sz w:val="24"/>
      <w:szCs w:val="20"/>
      <w:lang w:val="es-ES" w:eastAsia="es-ES"/>
    </w:rPr>
  </w:style>
  <w:style w:type="character" w:customStyle="1" w:styleId="Ttulo4Car">
    <w:name w:val="Título 4 Car"/>
    <w:basedOn w:val="Fuentedeprrafopredeter"/>
    <w:link w:val="Ttulo4"/>
    <w:rsid w:val="00D05B9E"/>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rsid w:val="00D05B9E"/>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unhideWhenUsed/>
    <w:rsid w:val="00D05B9E"/>
    <w:pPr>
      <w:spacing w:after="0" w:line="240" w:lineRule="auto"/>
    </w:pPr>
    <w:rPr>
      <w:sz w:val="20"/>
      <w:szCs w:val="20"/>
    </w:rPr>
  </w:style>
  <w:style w:type="character" w:customStyle="1" w:styleId="TextonotapieCar">
    <w:name w:val="Texto nota pie Car"/>
    <w:basedOn w:val="Fuentedeprrafopredeter"/>
    <w:link w:val="Textonotapie"/>
    <w:uiPriority w:val="99"/>
    <w:rsid w:val="00D05B9E"/>
    <w:rPr>
      <w:sz w:val="20"/>
      <w:szCs w:val="20"/>
    </w:rPr>
  </w:style>
  <w:style w:type="character" w:styleId="Refdenotaalpie">
    <w:name w:val="footnote reference"/>
    <w:basedOn w:val="Fuentedeprrafopredeter"/>
    <w:uiPriority w:val="99"/>
    <w:unhideWhenUsed/>
    <w:rsid w:val="00D05B9E"/>
    <w:rPr>
      <w:vertAlign w:val="superscript"/>
    </w:rPr>
  </w:style>
  <w:style w:type="paragraph" w:customStyle="1" w:styleId="Texto">
    <w:name w:val="Texto"/>
    <w:basedOn w:val="Normal"/>
    <w:link w:val="TextoCar"/>
    <w:qFormat/>
    <w:rsid w:val="00D05B9E"/>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D05B9E"/>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D05B9E"/>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D05B9E"/>
    <w:rPr>
      <w:rFonts w:ascii="Arial" w:eastAsia="Times New Roman" w:hAnsi="Arial" w:cs="Arial"/>
      <w:sz w:val="18"/>
      <w:szCs w:val="20"/>
      <w:lang w:val="es-ES" w:eastAsia="es-ES"/>
    </w:rPr>
  </w:style>
  <w:style w:type="paragraph" w:styleId="Prrafodelista">
    <w:name w:val="List Paragraph"/>
    <w:basedOn w:val="Normal"/>
    <w:uiPriority w:val="34"/>
    <w:qFormat/>
    <w:rsid w:val="00D05B9E"/>
    <w:pPr>
      <w:ind w:left="720"/>
      <w:contextualSpacing/>
    </w:pPr>
  </w:style>
  <w:style w:type="paragraph" w:styleId="Sinespaciado">
    <w:name w:val="No Spacing"/>
    <w:uiPriority w:val="1"/>
    <w:qFormat/>
    <w:rsid w:val="00D05B9E"/>
    <w:pPr>
      <w:spacing w:after="0" w:line="240" w:lineRule="auto"/>
    </w:pPr>
  </w:style>
  <w:style w:type="character" w:customStyle="1" w:styleId="ROMANOSCar">
    <w:name w:val="ROMANOS Car"/>
    <w:link w:val="ROMANOS"/>
    <w:locked/>
    <w:rsid w:val="00D05B9E"/>
    <w:rPr>
      <w:rFonts w:ascii="Arial" w:eastAsia="Times New Roman" w:hAnsi="Arial" w:cs="Arial"/>
      <w:sz w:val="18"/>
      <w:szCs w:val="18"/>
      <w:lang w:val="es-ES" w:eastAsia="es-ES"/>
    </w:rPr>
  </w:style>
  <w:style w:type="paragraph" w:styleId="NormalWeb">
    <w:name w:val="Normal (Web)"/>
    <w:basedOn w:val="Normal"/>
    <w:uiPriority w:val="99"/>
    <w:unhideWhenUsed/>
    <w:rsid w:val="00D05B9E"/>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Sangra2detindependiente">
    <w:name w:val="Body Text Indent 2"/>
    <w:basedOn w:val="Normal"/>
    <w:link w:val="Sangra2detindependienteCar"/>
    <w:rsid w:val="00D05B9E"/>
    <w:pPr>
      <w:spacing w:after="0" w:line="240" w:lineRule="auto"/>
      <w:ind w:firstLine="709"/>
      <w:jc w:val="both"/>
    </w:pPr>
    <w:rPr>
      <w:rFonts w:ascii="Arial" w:eastAsia="Times New Roman" w:hAnsi="Arial" w:cs="Times New Roman"/>
      <w:sz w:val="24"/>
      <w:szCs w:val="20"/>
      <w:lang w:eastAsia="es-ES"/>
    </w:rPr>
  </w:style>
  <w:style w:type="character" w:customStyle="1" w:styleId="Sangra2detindependienteCar">
    <w:name w:val="Sangría 2 de t. independiente Car"/>
    <w:basedOn w:val="Fuentedeprrafopredeter"/>
    <w:link w:val="Sangra2detindependiente"/>
    <w:rsid w:val="00D05B9E"/>
    <w:rPr>
      <w:rFonts w:ascii="Arial" w:eastAsia="Times New Roman" w:hAnsi="Arial" w:cs="Times New Roman"/>
      <w:sz w:val="24"/>
      <w:szCs w:val="20"/>
      <w:lang w:eastAsia="es-ES"/>
    </w:rPr>
  </w:style>
  <w:style w:type="paragraph" w:styleId="Textoindependiente3">
    <w:name w:val="Body Text 3"/>
    <w:basedOn w:val="Normal"/>
    <w:link w:val="Textoindependiente3Car"/>
    <w:rsid w:val="00D05B9E"/>
    <w:pPr>
      <w:spacing w:after="0" w:line="240" w:lineRule="auto"/>
      <w:jc w:val="both"/>
    </w:pPr>
    <w:rPr>
      <w:rFonts w:ascii="Arial" w:eastAsia="Times New Roman" w:hAnsi="Arial" w:cs="Times New Roman"/>
      <w:sz w:val="24"/>
      <w:szCs w:val="20"/>
      <w:lang w:eastAsia="es-ES"/>
    </w:rPr>
  </w:style>
  <w:style w:type="character" w:customStyle="1" w:styleId="Textoindependiente3Car">
    <w:name w:val="Texto independiente 3 Car"/>
    <w:basedOn w:val="Fuentedeprrafopredeter"/>
    <w:link w:val="Textoindependiente3"/>
    <w:rsid w:val="00D05B9E"/>
    <w:rPr>
      <w:rFonts w:ascii="Arial" w:eastAsia="Times New Roman" w:hAnsi="Arial" w:cs="Times New Roman"/>
      <w:sz w:val="24"/>
      <w:szCs w:val="20"/>
      <w:lang w:eastAsia="es-ES"/>
    </w:rPr>
  </w:style>
  <w:style w:type="paragraph" w:styleId="Sangradetextonormal">
    <w:name w:val="Body Text Indent"/>
    <w:basedOn w:val="Normal"/>
    <w:link w:val="SangradetextonormalCar"/>
    <w:rsid w:val="00D05B9E"/>
    <w:pPr>
      <w:spacing w:after="0" w:line="240" w:lineRule="auto"/>
      <w:ind w:firstLine="708"/>
      <w:jc w:val="both"/>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rsid w:val="00D05B9E"/>
    <w:rPr>
      <w:rFonts w:ascii="Times New Roman" w:eastAsia="Times New Roman" w:hAnsi="Times New Roman" w:cs="Times New Roman"/>
      <w:sz w:val="24"/>
      <w:szCs w:val="20"/>
      <w:lang w:val="es-ES" w:eastAsia="es-ES"/>
    </w:rPr>
  </w:style>
  <w:style w:type="character" w:styleId="Hipervnculo">
    <w:name w:val="Hyperlink"/>
    <w:rsid w:val="00D05B9E"/>
    <w:rPr>
      <w:color w:val="0000FF"/>
      <w:u w:val="single"/>
    </w:rPr>
  </w:style>
  <w:style w:type="character" w:styleId="Hipervnculovisitado">
    <w:name w:val="FollowedHyperlink"/>
    <w:rsid w:val="00D05B9E"/>
    <w:rPr>
      <w:color w:val="800080"/>
      <w:u w:val="single"/>
    </w:rPr>
  </w:style>
  <w:style w:type="paragraph" w:styleId="Textoindependiente2">
    <w:name w:val="Body Text 2"/>
    <w:basedOn w:val="Normal"/>
    <w:link w:val="Textoindependiente2Car"/>
    <w:rsid w:val="00D05B9E"/>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D05B9E"/>
    <w:rPr>
      <w:rFonts w:ascii="Times New Roman" w:eastAsia="Times New Roman" w:hAnsi="Times New Roman" w:cs="Times New Roman"/>
      <w:sz w:val="24"/>
      <w:szCs w:val="24"/>
      <w:lang w:val="es-ES" w:eastAsia="es-ES"/>
    </w:rPr>
  </w:style>
  <w:style w:type="character" w:styleId="Refdecomentario">
    <w:name w:val="annotation reference"/>
    <w:semiHidden/>
    <w:rsid w:val="00D05B9E"/>
    <w:rPr>
      <w:sz w:val="16"/>
      <w:szCs w:val="16"/>
    </w:rPr>
  </w:style>
  <w:style w:type="paragraph" w:styleId="Textocomentario">
    <w:name w:val="annotation text"/>
    <w:basedOn w:val="Normal"/>
    <w:link w:val="TextocomentarioCar"/>
    <w:semiHidden/>
    <w:rsid w:val="00D05B9E"/>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D05B9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D05B9E"/>
    <w:pPr>
      <w:spacing w:after="0" w:line="240" w:lineRule="auto"/>
      <w:ind w:left="705" w:hanging="705"/>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D05B9E"/>
    <w:rPr>
      <w:rFonts w:ascii="Times New Roman" w:eastAsia="Times New Roman" w:hAnsi="Times New Roman" w:cs="Times New Roman"/>
      <w:sz w:val="24"/>
      <w:szCs w:val="24"/>
      <w:lang w:val="es-ES_tradnl" w:eastAsia="es-ES"/>
    </w:rPr>
  </w:style>
  <w:style w:type="paragraph" w:styleId="Subttulo">
    <w:name w:val="Subtitle"/>
    <w:basedOn w:val="Normal"/>
    <w:link w:val="SubttuloCar"/>
    <w:qFormat/>
    <w:rsid w:val="00D05B9E"/>
    <w:pPr>
      <w:spacing w:after="60" w:line="240" w:lineRule="auto"/>
      <w:jc w:val="center"/>
      <w:outlineLvl w:val="1"/>
    </w:pPr>
    <w:rPr>
      <w:rFonts w:ascii="Arial" w:eastAsia="Times New Roman" w:hAnsi="Arial" w:cs="Arial"/>
      <w:sz w:val="24"/>
      <w:szCs w:val="24"/>
      <w:lang w:val="es-ES" w:eastAsia="es-ES"/>
    </w:rPr>
  </w:style>
  <w:style w:type="character" w:customStyle="1" w:styleId="SubttuloCar">
    <w:name w:val="Subtítulo Car"/>
    <w:basedOn w:val="Fuentedeprrafopredeter"/>
    <w:link w:val="Subttulo"/>
    <w:rsid w:val="00D05B9E"/>
    <w:rPr>
      <w:rFonts w:ascii="Arial" w:eastAsia="Times New Roman" w:hAnsi="Arial" w:cs="Arial"/>
      <w:sz w:val="24"/>
      <w:szCs w:val="24"/>
      <w:lang w:val="es-ES" w:eastAsia="es-ES"/>
    </w:rPr>
  </w:style>
  <w:style w:type="numbering" w:customStyle="1" w:styleId="Sinlista1">
    <w:name w:val="Sin lista1"/>
    <w:next w:val="Sinlista"/>
    <w:uiPriority w:val="99"/>
    <w:semiHidden/>
    <w:rsid w:val="00D05B9E"/>
  </w:style>
  <w:style w:type="numbering" w:customStyle="1" w:styleId="Sinlista2">
    <w:name w:val="Sin lista2"/>
    <w:next w:val="Sinlista"/>
    <w:uiPriority w:val="99"/>
    <w:semiHidden/>
    <w:rsid w:val="00D05B9E"/>
  </w:style>
  <w:style w:type="paragraph" w:styleId="Lista">
    <w:name w:val="List"/>
    <w:basedOn w:val="Normal"/>
    <w:rsid w:val="00D05B9E"/>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rsid w:val="00D05B9E"/>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Continuarlista">
    <w:name w:val="List Continue"/>
    <w:basedOn w:val="Normal"/>
    <w:rsid w:val="00D05B9E"/>
    <w:pPr>
      <w:spacing w:after="120" w:line="240" w:lineRule="auto"/>
      <w:ind w:left="283"/>
      <w:contextualSpacing/>
    </w:pPr>
    <w:rPr>
      <w:rFonts w:ascii="Times New Roman" w:eastAsia="Times New Roman" w:hAnsi="Times New Roman" w:cs="Times New Roman"/>
      <w:sz w:val="20"/>
      <w:szCs w:val="20"/>
      <w:lang w:val="es-ES" w:eastAsia="es-ES"/>
    </w:rPr>
  </w:style>
  <w:style w:type="paragraph" w:styleId="Continuarlista2">
    <w:name w:val="List Continue 2"/>
    <w:basedOn w:val="Normal"/>
    <w:rsid w:val="00D05B9E"/>
    <w:pPr>
      <w:spacing w:after="120" w:line="240" w:lineRule="auto"/>
      <w:ind w:left="566"/>
      <w:contextualSpacing/>
    </w:pPr>
    <w:rPr>
      <w:rFonts w:ascii="Times New Roman" w:eastAsia="Times New Roman" w:hAnsi="Times New Roman" w:cs="Times New Roman"/>
      <w:sz w:val="20"/>
      <w:szCs w:val="20"/>
      <w:lang w:val="es-ES" w:eastAsia="es-ES"/>
    </w:rPr>
  </w:style>
  <w:style w:type="paragraph" w:styleId="Epgrafe">
    <w:name w:val="caption"/>
    <w:basedOn w:val="Normal"/>
    <w:next w:val="Normal"/>
    <w:unhideWhenUsed/>
    <w:qFormat/>
    <w:rsid w:val="00D05B9E"/>
    <w:pPr>
      <w:spacing w:after="0" w:line="240" w:lineRule="auto"/>
    </w:pPr>
    <w:rPr>
      <w:rFonts w:ascii="Times New Roman" w:eastAsia="Times New Roman" w:hAnsi="Times New Roman" w:cs="Times New Roman"/>
      <w:b/>
      <w:bCs/>
      <w:sz w:val="20"/>
      <w:szCs w:val="20"/>
      <w:lang w:val="es-ES" w:eastAsia="es-ES"/>
    </w:rPr>
  </w:style>
  <w:style w:type="paragraph" w:styleId="Ttulo">
    <w:name w:val="Title"/>
    <w:basedOn w:val="Normal"/>
    <w:next w:val="Normal"/>
    <w:link w:val="TtuloCar"/>
    <w:qFormat/>
    <w:rsid w:val="00D05B9E"/>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D05B9E"/>
    <w:rPr>
      <w:rFonts w:ascii="Cambria" w:eastAsia="Times New Roman" w:hAnsi="Cambria" w:cs="Times New Roman"/>
      <w:b/>
      <w:bCs/>
      <w:kern w:val="28"/>
      <w:sz w:val="32"/>
      <w:szCs w:val="32"/>
      <w:lang w:val="es-ES" w:eastAsia="es-ES"/>
    </w:rPr>
  </w:style>
  <w:style w:type="paragraph" w:styleId="Textoindependiente">
    <w:name w:val="Body Text"/>
    <w:basedOn w:val="Normal"/>
    <w:link w:val="TextoindependienteCar"/>
    <w:rsid w:val="00D05B9E"/>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D05B9E"/>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D05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D05B9E"/>
    <w:rPr>
      <w:i/>
      <w:iCs/>
    </w:rPr>
  </w:style>
  <w:style w:type="numbering" w:customStyle="1" w:styleId="Sinlista3">
    <w:name w:val="Sin lista3"/>
    <w:next w:val="Sinlista"/>
    <w:uiPriority w:val="99"/>
    <w:semiHidden/>
    <w:rsid w:val="00D05B9E"/>
  </w:style>
  <w:style w:type="paragraph" w:styleId="Asuntodelcomentario">
    <w:name w:val="annotation subject"/>
    <w:basedOn w:val="Textocomentario"/>
    <w:next w:val="Textocomentario"/>
    <w:link w:val="AsuntodelcomentarioCar"/>
    <w:rsid w:val="00D05B9E"/>
    <w:rPr>
      <w:b/>
      <w:bCs/>
    </w:rPr>
  </w:style>
  <w:style w:type="character" w:customStyle="1" w:styleId="AsuntodelcomentarioCar">
    <w:name w:val="Asunto del comentario Car"/>
    <w:basedOn w:val="TextocomentarioCar"/>
    <w:link w:val="Asuntodelcomentario"/>
    <w:rsid w:val="00D05B9E"/>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5696</Words>
  <Characters>31330</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obruno</dc:creator>
  <cp:lastModifiedBy>obruno</cp:lastModifiedBy>
  <cp:revision>1</cp:revision>
  <cp:lastPrinted>2023-01-18T22:41:00Z</cp:lastPrinted>
  <dcterms:created xsi:type="dcterms:W3CDTF">2023-01-18T22:31:00Z</dcterms:created>
  <dcterms:modified xsi:type="dcterms:W3CDTF">2023-01-18T22:42:00Z</dcterms:modified>
</cp:coreProperties>
</file>