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284"/>
        <w:gridCol w:w="283"/>
        <w:gridCol w:w="1701"/>
        <w:gridCol w:w="5387"/>
        <w:gridCol w:w="851"/>
        <w:gridCol w:w="567"/>
        <w:gridCol w:w="851"/>
      </w:tblGrid>
      <w:tr>
        <w:trPr>
          <w:trHeight w:hRule="exact" w:val="284"/>
        </w:trPr>
        <w:tc>
          <w:tcPr>
            <w:tcW w:w="1290.75" w:type="dxa"/>
            <w:gridSpan w:val="2"/>
            <w:tcBorders/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810000" cy="54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3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Poder Judicial del Estado de Morelos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8"/>
        </w:trPr>
        <w:tc>
          <w:tcPr>
            <w:tcW w:w="1290.75" w:type="dxa"/>
            <w:gridSpan w:val="2"/>
            <w:tcBorders/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803.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MORELOS</w:t>
            </w: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1290.75" w:type="dxa"/>
            <w:gridSpan w:val="2"/>
            <w:tcBorders/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3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1574.25" w:type="dxa"/>
            <w:gridSpan w:val="3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Usr: C-USERNC1</w:t>
            </w:r>
          </w:p>
        </w:tc>
        <w:tc>
          <w:tcPr>
            <w:tcW w:w="7953" w:type="dxa"/>
            <w:gridSpan w:val="3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1.9998" w:type="dxa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Fecha y</w:t>
            </w:r>
          </w:p>
        </w:tc>
        <w:tc>
          <w:tcPr>
            <w:tcW w:w="1007.25" w:type="dxa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03:09 p.m.</w:t>
            </w:r>
          </w:p>
        </w:tc>
      </w:tr>
      <w:tr>
        <w:trPr>
          <w:trHeight w:hRule="exact" w:val="277"/>
        </w:trPr>
        <w:tc>
          <w:tcPr>
            <w:tcW w:w="3133.5" w:type="dxa"/>
            <w:gridSpan w:val="4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Rep: rptPasivosContingentes</w:t>
            </w:r>
          </w:p>
        </w:tc>
        <w:tc>
          <w:tcPr>
            <w:tcW w:w="53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5"/>
        </w:trPr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3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02"/>
        </w:trPr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3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05"/>
        </w:trPr>
        <w:tc>
          <w:tcPr>
            <w:tcW w:w="10788" w:type="dxa"/>
            <w:gridSpan w:val="8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“En Cumplimiento a lo dispuesto en los artículos 46, Fracción I, Inciso f), y 52 de la Ley General de Contabilidad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Gubernamental y de conformidad con lo establecido en el Capítulo VII, Numeral, II, Inciso h) del Manual de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Contabilidad Gubernamental emitido por el CONAC, el Ente Público informa lo siguiente:”</w:t>
            </w:r>
          </w:p>
        </w:tc>
      </w:tr>
      <w:tr>
        <w:trPr>
          <w:trHeight w:hRule="exact" w:val="7088"/>
        </w:trPr>
        <w:tc>
          <w:tcPr>
            <w:tcW w:w="10788" w:type="dxa"/>
            <w:gridSpan w:val="8"/>
            <w:tcBorders/>
            <w:shd w:val="clear" w:color="#C0C0C0" w:fill="#FFFFFF"/>
            <w:vAlign w:val="center"/>
            <w:textDirection w:val="lrTb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55"/>
                <w:szCs w:val="55"/>
              </w:rPr>
            </w:pPr>
            <w:r>
              <w:rPr>
                <w:rFonts w:ascii="Arial" w:hAnsi="Arial" w:cs="Arial"/>
                <w:color w:val="#C0C0C0"/>
                <w:sz w:val="55"/>
                <w:szCs w:val="55"/>
              </w:rPr>
              <w:t>SIN INFORMACIÓN QUE</w:t>
            </w:r>
            <w:br/>
            <w:r>
              <w:rPr>
                <w:rFonts w:ascii="Arial" w:hAnsi="Arial" w:cs="Arial"/>
                <w:color w:val="#C0C0C0"/>
                <w:sz w:val="55"/>
                <w:szCs w:val="55"/>
              </w:rPr>
              <w:t>REVELAR</w:t>
            </w:r>
          </w:p>
        </w:tc>
      </w:tr>
    </w:tbl>
    <w:sectPr>
      <w:pgSz w:w="12241" w:h="15842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21" Type="http://schemas.openxmlformats.org/officeDocument/2006/relationships/image" Target="media/EFD6CC41FAA7E15E903AA9610ED4BD0E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Pasivos Contingentes</dc:title>
  <dc:creator>FastReport.NET</dc:creator>
</cp:coreProperties>
</file>