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40" w:rsidRPr="00461F67" w:rsidRDefault="00372F40" w:rsidP="008D194A">
      <w:pPr>
        <w:rPr>
          <w:rFonts w:ascii="Trebuchet MS" w:hAnsi="Trebuchet MS"/>
          <w:sz w:val="24"/>
          <w:szCs w:val="24"/>
        </w:rPr>
      </w:pPr>
    </w:p>
    <w:p w:rsidR="0091246D" w:rsidRPr="0091246D" w:rsidRDefault="00CB38E4" w:rsidP="0091246D">
      <w:pPr>
        <w:pStyle w:val="Ttulo"/>
      </w:pPr>
      <w:r>
        <w:t>N</w:t>
      </w:r>
      <w:r w:rsidR="0091246D" w:rsidRPr="0091246D">
        <w:t>OTAS A LOS ESTADOS FINANCIEROS</w:t>
      </w:r>
    </w:p>
    <w:p w:rsidR="0091246D" w:rsidRPr="0091246D" w:rsidRDefault="0091246D" w:rsidP="0091246D">
      <w:pPr>
        <w:spacing w:after="0" w:line="240" w:lineRule="auto"/>
        <w:contextualSpacing/>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A) Notas de Desglose:</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A.1) Información Contable</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 Notas al Estado de Situación Financiera</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 Activo</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 Efectivo y Equivalentes</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NOTA 1) SALDO DISPONIBLE EN EFECTIVO AL CIERRE DEL SEGUNDO TRIMESTRE 2020: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Las cuentas que integran el efectivo disponible corresponden a los fondos </w:t>
      </w:r>
      <w:proofErr w:type="spellStart"/>
      <w:r w:rsidRPr="0091246D">
        <w:rPr>
          <w:rFonts w:ascii="Trebuchet MS" w:eastAsia="Times New Roman" w:hAnsi="Trebuchet MS" w:cs="Times New Roman"/>
          <w:sz w:val="24"/>
          <w:szCs w:val="24"/>
          <w:lang w:val="es-ES" w:eastAsia="es-ES"/>
        </w:rPr>
        <w:t>revolventes</w:t>
      </w:r>
      <w:proofErr w:type="spellEnd"/>
      <w:r w:rsidRPr="0091246D">
        <w:rPr>
          <w:rFonts w:ascii="Trebuchet MS" w:eastAsia="Times New Roman" w:hAnsi="Trebuchet MS" w:cs="Times New Roman"/>
          <w:sz w:val="24"/>
          <w:szCs w:val="24"/>
          <w:lang w:val="es-ES" w:eastAsia="es-ES"/>
        </w:rPr>
        <w:t xml:space="preserve"> entregados para sufragar las erogaciones de caja de áreas sustantivas para la consecución de objetivos de operación del Poder Judicial del Estado de Morelos por un importe de $94,332 (noventa y cuatro mil trescientos treinta y dos pesos), conformados como se detalla:</w:t>
      </w:r>
    </w:p>
    <w:tbl>
      <w:tblPr>
        <w:tblW w:w="4060" w:type="dxa"/>
        <w:tblInd w:w="2658" w:type="dxa"/>
        <w:tblCellMar>
          <w:left w:w="70" w:type="dxa"/>
          <w:right w:w="70" w:type="dxa"/>
        </w:tblCellMar>
        <w:tblLook w:val="04A0" w:firstRow="1" w:lastRow="0" w:firstColumn="1" w:lastColumn="0" w:noHBand="0" w:noVBand="1"/>
      </w:tblPr>
      <w:tblGrid>
        <w:gridCol w:w="2760"/>
        <w:gridCol w:w="1300"/>
      </w:tblGrid>
      <w:tr w:rsidR="0091246D" w:rsidRPr="0091246D" w:rsidTr="006E3A97">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 xml:space="preserve">Fondo </w:t>
            </w:r>
            <w:proofErr w:type="spellStart"/>
            <w:r w:rsidRPr="0091246D">
              <w:rPr>
                <w:rFonts w:ascii="Trebuchet MS" w:eastAsia="Times New Roman" w:hAnsi="Trebuchet MS" w:cs="Times New Roman"/>
                <w:b/>
                <w:bCs/>
                <w:color w:val="000000"/>
                <w:sz w:val="20"/>
                <w:szCs w:val="20"/>
                <w:u w:val="single"/>
                <w:lang w:val="es-ES" w:eastAsia="es-MX"/>
              </w:rPr>
              <w:t>Revolvente</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Importe</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Presidencia T.S.J.</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13,182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Junta de </w:t>
            </w:r>
            <w:proofErr w:type="spellStart"/>
            <w:r w:rsidRPr="0091246D">
              <w:rPr>
                <w:rFonts w:ascii="Trebuchet MS" w:eastAsia="Times New Roman" w:hAnsi="Trebuchet MS" w:cs="Times New Roman"/>
                <w:color w:val="000000"/>
                <w:sz w:val="20"/>
                <w:szCs w:val="20"/>
                <w:lang w:val="es-ES" w:eastAsia="es-MX"/>
              </w:rPr>
              <w:t>Administracion</w:t>
            </w:r>
            <w:proofErr w:type="spellEnd"/>
            <w:r w:rsidRPr="0091246D">
              <w:rPr>
                <w:rFonts w:ascii="Trebuchet MS" w:eastAsia="Times New Roman" w:hAnsi="Trebuchet MS" w:cs="Times New Roman"/>
                <w:color w:val="000000"/>
                <w:sz w:val="20"/>
                <w:szCs w:val="20"/>
                <w:lang w:val="es-ES" w:eastAsia="es-MX"/>
              </w:rPr>
              <w:t xml:space="preserve"> vigilancia y disciplina T.S.J.</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10,000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Dirección General Administración.</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25,000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Recursos Materiales</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25,000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Recursos Materiales – vehículos</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10,000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Coordinador Jurídico H. Consejo</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Secretaria Particular TSJ</w:t>
            </w:r>
          </w:p>
        </w:tc>
        <w:tc>
          <w:tcPr>
            <w:tcW w:w="130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1,143</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Tercer Distrito Juicios Orales</w:t>
            </w:r>
          </w:p>
        </w:tc>
        <w:tc>
          <w:tcPr>
            <w:tcW w:w="1300" w:type="dxa"/>
            <w:tcBorders>
              <w:top w:val="nil"/>
              <w:left w:val="nil"/>
              <w:bottom w:val="single" w:sz="4" w:space="0" w:color="auto"/>
              <w:right w:val="single" w:sz="4" w:space="0" w:color="auto"/>
            </w:tcBorders>
            <w:shd w:val="clear" w:color="auto" w:fill="auto"/>
            <w:noWrap/>
            <w:vAlign w:val="bottom"/>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3,643</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Segundo Distrito Juicios Orales</w:t>
            </w:r>
          </w:p>
        </w:tc>
        <w:tc>
          <w:tcPr>
            <w:tcW w:w="1300" w:type="dxa"/>
            <w:tcBorders>
              <w:top w:val="nil"/>
              <w:left w:val="nil"/>
              <w:bottom w:val="single" w:sz="4" w:space="0" w:color="auto"/>
              <w:right w:val="single" w:sz="4" w:space="0" w:color="auto"/>
            </w:tcBorders>
            <w:shd w:val="clear" w:color="auto" w:fill="auto"/>
            <w:noWrap/>
            <w:vAlign w:val="bottom"/>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4,364</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r w:rsidRPr="0091246D">
              <w:rPr>
                <w:rFonts w:ascii="Trebuchet MS" w:eastAsia="Times New Roman" w:hAnsi="Trebuchet MS" w:cs="Times New Roman"/>
                <w:b/>
                <w:color w:val="000000"/>
                <w:sz w:val="20"/>
                <w:szCs w:val="20"/>
                <w:lang w:val="es-ES" w:eastAsia="es-MX"/>
              </w:rPr>
              <w:t>SUMA</w:t>
            </w:r>
          </w:p>
        </w:tc>
        <w:tc>
          <w:tcPr>
            <w:tcW w:w="130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r w:rsidRPr="0091246D">
              <w:rPr>
                <w:rFonts w:ascii="Trebuchet MS" w:eastAsia="Times New Roman" w:hAnsi="Trebuchet MS" w:cs="Times New Roman"/>
                <w:b/>
                <w:color w:val="000000"/>
                <w:sz w:val="20"/>
                <w:szCs w:val="20"/>
                <w:lang w:val="es-ES" w:eastAsia="es-MX"/>
              </w:rPr>
              <w:t>94,332</w:t>
            </w: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NOTA 2) SALDO EN BANCOS AL CIERRE DEL SEGUNDO TRIMESTRE 2020: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lastRenderedPageBreak/>
        <w:t>El saldo es $ 397,065 (trescientos noventa y siete mil sesenta y cinco pesos) como sigue:</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91246D" w:rsidRPr="0091246D" w:rsidTr="006E3A97">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BANCO</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IMPORTE</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BANORTE, S.A.</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0464898492 J.O</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7,493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0464898504 J.T.</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12,248 </w:t>
            </w:r>
          </w:p>
        </w:tc>
      </w:tr>
      <w:tr w:rsidR="0091246D" w:rsidRPr="0091246D" w:rsidTr="006E3A97">
        <w:trPr>
          <w:trHeight w:val="94"/>
        </w:trPr>
        <w:tc>
          <w:tcPr>
            <w:tcW w:w="2760" w:type="dxa"/>
            <w:tcBorders>
              <w:top w:val="single" w:sz="4" w:space="0" w:color="auto"/>
              <w:left w:val="single" w:sz="4" w:space="0" w:color="auto"/>
              <w:bottom w:val="single" w:sz="4" w:space="0" w:color="auto"/>
              <w:right w:val="nil"/>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w:t>
            </w:r>
          </w:p>
        </w:tc>
      </w:tr>
      <w:tr w:rsidR="0091246D" w:rsidRPr="0091246D" w:rsidTr="006E3A97">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HSBC México, S.A.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4058867607 J.T</w:t>
            </w:r>
          </w:p>
        </w:tc>
        <w:tc>
          <w:tcPr>
            <w:tcW w:w="184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284,177</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Cta. 4058867615 J.O. </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93,147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 xml:space="preserve">397,065 </w:t>
            </w:r>
          </w:p>
        </w:tc>
      </w:tr>
    </w:tbl>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NOTA 3) INVERSIONES FINANCIERAS A CORTO PLAZO AL CIERRE DEL SEGUNDO TRIMESTRE 2020: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Derivado de la adecuada administración del recurso económico, permitió que las inversiones de disponibilidades financieras, generaran ingresos por concepto de rendimientos por un importe de 1’682,002 (un millón seiscientos ochenta y dos mil dos pesos), lo cual coadyuva en el financiamiento del Programa Operativo Anual. Al final del periodo que se informa se tiene invertido en títulos gubernamentales un total de $98’461,054 (noventa y ocho millones cuatrocientos sesenta y un mil cincuenta y cuatro pesos),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2525"/>
        <w:gridCol w:w="1225"/>
      </w:tblGrid>
      <w:tr w:rsidR="0091246D" w:rsidRPr="0091246D" w:rsidTr="006E3A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IMPORTE</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80’831,476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665,574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111,498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16’852,506</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 xml:space="preserve">98’461,054 </w:t>
            </w:r>
          </w:p>
        </w:tc>
      </w:tr>
    </w:tbl>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I.I.II</w:t>
      </w:r>
      <w:r w:rsidRPr="0091246D">
        <w:rPr>
          <w:rFonts w:ascii="Trebuchet MS" w:eastAsia="Times New Roman" w:hAnsi="Trebuchet MS" w:cs="Times New Roman"/>
          <w:sz w:val="24"/>
          <w:szCs w:val="24"/>
          <w:lang w:val="es-ES" w:eastAsia="es-ES"/>
        </w:rPr>
        <w:tab/>
        <w:t>Derechos a recibir Efectivo y Equivalentes y Bienes o Servicios a Recibir</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DEUDORES DIVERSOS POR COBRAR A CORTO PLAZO AL CIERRE DEL SEGUNDO TRIMESTRE 2020: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lastRenderedPageBreak/>
        <w:t xml:space="preserve">Se refleja un saldo por la cantidad de $ 578,973 (quinientos setenta y ocho mil novecientos setenta y tres pesos), importe que se </w:t>
      </w:r>
      <w:proofErr w:type="gramStart"/>
      <w:r w:rsidRPr="0091246D">
        <w:rPr>
          <w:rFonts w:ascii="Trebuchet MS" w:eastAsia="Times New Roman" w:hAnsi="Trebuchet MS" w:cs="Times New Roman"/>
          <w:sz w:val="24"/>
          <w:szCs w:val="24"/>
          <w:lang w:val="es-ES" w:eastAsia="es-ES"/>
        </w:rPr>
        <w:t>conforma</w:t>
      </w:r>
      <w:proofErr w:type="gramEnd"/>
      <w:r w:rsidRPr="0091246D">
        <w:rPr>
          <w:rFonts w:ascii="Trebuchet MS" w:eastAsia="Times New Roman" w:hAnsi="Trebuchet MS" w:cs="Times New Roman"/>
          <w:sz w:val="24"/>
          <w:szCs w:val="24"/>
          <w:lang w:val="es-ES" w:eastAsia="es-ES"/>
        </w:rPr>
        <w:t xml:space="preserve"> principalmente por anticipo de percepciones mismas que serán recuperados a la brevedad.</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91246D" w:rsidRPr="0091246D" w:rsidTr="006E3A97">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DEUDOR</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IMPORTE</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Deudores</w:t>
            </w:r>
          </w:p>
        </w:tc>
        <w:tc>
          <w:tcPr>
            <w:tcW w:w="184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13,616</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Deudores Internos</w:t>
            </w:r>
          </w:p>
        </w:tc>
        <w:tc>
          <w:tcPr>
            <w:tcW w:w="184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32,051 </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Gastos a Comprobar</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88,303</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Anticipo de Percepciones</w:t>
            </w:r>
          </w:p>
        </w:tc>
        <w:tc>
          <w:tcPr>
            <w:tcW w:w="184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407,165</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Deudores Fondos </w:t>
            </w:r>
            <w:proofErr w:type="spellStart"/>
            <w:r w:rsidRPr="0091246D">
              <w:rPr>
                <w:rFonts w:ascii="Trebuchet MS" w:eastAsia="Times New Roman" w:hAnsi="Trebuchet MS" w:cs="Times New Roman"/>
                <w:color w:val="000000"/>
                <w:sz w:val="20"/>
                <w:szCs w:val="20"/>
                <w:lang w:val="es-ES" w:eastAsia="es-MX"/>
              </w:rPr>
              <w:t>Revolventes</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119 </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Deudores Diversos Jubilados</w:t>
            </w:r>
          </w:p>
        </w:tc>
        <w:tc>
          <w:tcPr>
            <w:tcW w:w="184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Cs/>
                <w:color w:val="000000"/>
                <w:sz w:val="20"/>
                <w:szCs w:val="18"/>
                <w:lang w:val="es-ES" w:eastAsia="es-MX"/>
              </w:rPr>
              <w:t>37,719</w:t>
            </w:r>
          </w:p>
        </w:tc>
      </w:tr>
      <w:tr w:rsidR="0091246D" w:rsidRPr="0091246D" w:rsidTr="006E3A9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bCs/>
                <w:color w:val="000000"/>
                <w:sz w:val="18"/>
                <w:szCs w:val="18"/>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91246D" w:rsidRPr="0091246D" w:rsidRDefault="0091246D" w:rsidP="0091246D">
            <w:pPr>
              <w:spacing w:after="0" w:line="240" w:lineRule="auto"/>
              <w:contextualSpacing/>
              <w:jc w:val="right"/>
              <w:rPr>
                <w:rFonts w:ascii="Trebuchet MS" w:eastAsia="Times New Roman" w:hAnsi="Trebuchet MS" w:cs="Times New Roman"/>
                <w:bCs/>
                <w:color w:val="000000"/>
                <w:sz w:val="18"/>
                <w:szCs w:val="18"/>
                <w:lang w:val="es-ES" w:eastAsia="es-MX"/>
              </w:rPr>
            </w:pPr>
            <w:r w:rsidRPr="0091246D">
              <w:rPr>
                <w:rFonts w:ascii="Trebuchet MS" w:eastAsia="Times New Roman" w:hAnsi="Trebuchet MS" w:cs="Times New Roman"/>
                <w:b/>
                <w:bCs/>
                <w:color w:val="000000"/>
                <w:sz w:val="20"/>
                <w:szCs w:val="20"/>
                <w:lang w:val="es-ES" w:eastAsia="es-MX"/>
              </w:rPr>
              <w:t xml:space="preserve">578,973 </w:t>
            </w:r>
          </w:p>
        </w:tc>
      </w:tr>
    </w:tbl>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3) DEPÓSITOS EN GARANTÍA AL CIERRE DEL SEGUNDO TRIMESTRE 2020:</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Existen depósitos por un importe de $155,957 (ciento cincuenta y cinco mil novecientos cincuenta y siete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91246D" w:rsidRPr="0091246D" w:rsidTr="006E3A97">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DEPÓSITOS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IMPORTE</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Sánchez Rodríguez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6,000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Álvarez Nava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12,000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Comisión Federal de Electricidad</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102,977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bCs/>
                <w:color w:val="000000"/>
                <w:sz w:val="20"/>
                <w:szCs w:val="20"/>
                <w:lang w:val="es-ES" w:eastAsia="es-MX"/>
              </w:rPr>
            </w:pPr>
            <w:r w:rsidRPr="0091246D">
              <w:rPr>
                <w:rFonts w:ascii="Trebuchet MS" w:eastAsia="Times New Roman" w:hAnsi="Trebuchet MS" w:cs="Times New Roman"/>
                <w:bCs/>
                <w:color w:val="000000"/>
                <w:sz w:val="20"/>
                <w:szCs w:val="20"/>
                <w:lang w:val="es-ES" w:eastAsia="es-MX"/>
              </w:rPr>
              <w:t xml:space="preserve">Rogelio </w:t>
            </w:r>
            <w:proofErr w:type="spellStart"/>
            <w:r w:rsidRPr="0091246D">
              <w:rPr>
                <w:rFonts w:ascii="Trebuchet MS" w:eastAsia="Times New Roman" w:hAnsi="Trebuchet MS" w:cs="Times New Roman"/>
                <w:bCs/>
                <w:color w:val="000000"/>
                <w:sz w:val="20"/>
                <w:szCs w:val="20"/>
                <w:lang w:val="es-ES" w:eastAsia="es-MX"/>
              </w:rPr>
              <w:t>Hector</w:t>
            </w:r>
            <w:proofErr w:type="spellEnd"/>
            <w:r w:rsidRPr="0091246D">
              <w:rPr>
                <w:rFonts w:ascii="Trebuchet MS" w:eastAsia="Times New Roman" w:hAnsi="Trebuchet MS" w:cs="Times New Roman"/>
                <w:bCs/>
                <w:color w:val="000000"/>
                <w:sz w:val="20"/>
                <w:szCs w:val="20"/>
                <w:lang w:val="es-ES" w:eastAsia="es-MX"/>
              </w:rPr>
              <w:t xml:space="preserve"> </w:t>
            </w:r>
            <w:proofErr w:type="spellStart"/>
            <w:r w:rsidRPr="0091246D">
              <w:rPr>
                <w:rFonts w:ascii="Trebuchet MS" w:eastAsia="Times New Roman" w:hAnsi="Trebuchet MS" w:cs="Times New Roman"/>
                <w:bCs/>
                <w:color w:val="000000"/>
                <w:sz w:val="20"/>
                <w:szCs w:val="20"/>
                <w:lang w:val="es-ES" w:eastAsia="es-MX"/>
              </w:rPr>
              <w:t>Garcia</w:t>
            </w:r>
            <w:proofErr w:type="spellEnd"/>
            <w:r w:rsidRPr="0091246D">
              <w:rPr>
                <w:rFonts w:ascii="Trebuchet MS" w:eastAsia="Times New Roman" w:hAnsi="Trebuchet MS" w:cs="Times New Roman"/>
                <w:bCs/>
                <w:color w:val="000000"/>
                <w:sz w:val="20"/>
                <w:szCs w:val="20"/>
                <w:lang w:val="es-ES" w:eastAsia="es-MX"/>
              </w:rPr>
              <w:t xml:space="preserve">   </w:t>
            </w:r>
            <w:proofErr w:type="spellStart"/>
            <w:r w:rsidRPr="0091246D">
              <w:rPr>
                <w:rFonts w:ascii="Trebuchet MS" w:eastAsia="Times New Roman" w:hAnsi="Trebuchet MS" w:cs="Times New Roman"/>
                <w:bCs/>
                <w:color w:val="000000"/>
                <w:sz w:val="20"/>
                <w:szCs w:val="20"/>
                <w:lang w:val="es-ES" w:eastAsia="es-MX"/>
              </w:rPr>
              <w:t>Albarran</w:t>
            </w:r>
            <w:proofErr w:type="spellEnd"/>
          </w:p>
        </w:tc>
        <w:tc>
          <w:tcPr>
            <w:tcW w:w="1840" w:type="dxa"/>
            <w:tcBorders>
              <w:top w:val="nil"/>
              <w:left w:val="nil"/>
              <w:bottom w:val="single" w:sz="4" w:space="0" w:color="auto"/>
              <w:right w:val="single" w:sz="4" w:space="0" w:color="auto"/>
            </w:tcBorders>
            <w:shd w:val="clear" w:color="auto" w:fill="auto"/>
            <w:noWrap/>
            <w:vAlign w:val="bottom"/>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34,980</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r w:rsidRPr="0091246D">
              <w:rPr>
                <w:rFonts w:ascii="Trebuchet MS" w:eastAsia="Times New Roman" w:hAnsi="Trebuchet MS" w:cs="Times New Roman"/>
                <w:b/>
                <w:color w:val="000000"/>
                <w:sz w:val="20"/>
                <w:szCs w:val="20"/>
                <w:lang w:val="es-ES" w:eastAsia="es-MX"/>
              </w:rPr>
              <w:t xml:space="preserve">155,957 </w:t>
            </w:r>
          </w:p>
        </w:tc>
      </w:tr>
    </w:tbl>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ANTICIPO A PROVEEDORES AL CIERRE DEL SEGUNDO TRIMESTRE 2020: </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Se cuenta con anticipos a proveedores por un importe de $246,677 (doscientos cuarenta y seis seiscientos setenta y siete mil setecientos setenta y siete pesos). </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91246D" w:rsidRPr="0091246D" w:rsidTr="006E3A97">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18"/>
                <w:szCs w:val="18"/>
                <w:u w:val="single"/>
                <w:lang w:val="es-ES" w:eastAsia="es-MX"/>
              </w:rPr>
            </w:pPr>
            <w:r w:rsidRPr="0091246D">
              <w:rPr>
                <w:rFonts w:ascii="Trebuchet MS" w:eastAsia="Times New Roman" w:hAnsi="Trebuchet MS" w:cs="Times New Roman"/>
                <w:b/>
                <w:bCs/>
                <w:color w:val="000000"/>
                <w:sz w:val="18"/>
                <w:szCs w:val="18"/>
                <w:u w:val="single"/>
                <w:lang w:val="es-ES" w:eastAsia="es-MX"/>
              </w:rPr>
              <w:t>ANTICIPO A PROVEEDORES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18"/>
                <w:szCs w:val="18"/>
                <w:u w:val="single"/>
                <w:lang w:val="es-ES" w:eastAsia="es-MX"/>
              </w:rPr>
            </w:pPr>
            <w:r w:rsidRPr="0091246D">
              <w:rPr>
                <w:rFonts w:ascii="Trebuchet MS" w:eastAsia="Times New Roman" w:hAnsi="Trebuchet MS" w:cs="Times New Roman"/>
                <w:b/>
                <w:bCs/>
                <w:color w:val="000000"/>
                <w:sz w:val="18"/>
                <w:szCs w:val="18"/>
                <w:u w:val="single"/>
                <w:lang w:val="es-ES" w:eastAsia="es-MX"/>
              </w:rPr>
              <w:t>IMPORTE</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6"/>
                <w:szCs w:val="16"/>
                <w:lang w:val="es-ES" w:eastAsia="es-MX"/>
              </w:rPr>
            </w:pPr>
            <w:proofErr w:type="spellStart"/>
            <w:r w:rsidRPr="0091246D">
              <w:rPr>
                <w:rFonts w:ascii="Trebuchet MS" w:eastAsia="Times New Roman" w:hAnsi="Trebuchet MS" w:cs="Times New Roman"/>
                <w:color w:val="000000"/>
                <w:sz w:val="16"/>
                <w:szCs w:val="16"/>
                <w:lang w:val="es-ES" w:eastAsia="es-MX"/>
              </w:rPr>
              <w:t>Metlife</w:t>
            </w:r>
            <w:proofErr w:type="spellEnd"/>
            <w:r w:rsidRPr="0091246D">
              <w:rPr>
                <w:rFonts w:ascii="Trebuchet MS" w:eastAsia="Times New Roman" w:hAnsi="Trebuchet MS" w:cs="Times New Roman"/>
                <w:color w:val="000000"/>
                <w:sz w:val="16"/>
                <w:szCs w:val="16"/>
                <w:lang w:val="es-ES" w:eastAsia="es-MX"/>
              </w:rPr>
              <w:t xml:space="preserve"> México SA</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9,746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HDI seguros S.A de C.V</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236,931</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91246D" w:rsidRPr="0091246D" w:rsidRDefault="0091246D" w:rsidP="0091246D">
            <w:pPr>
              <w:spacing w:after="0" w:line="240" w:lineRule="auto"/>
              <w:contextualSpacing/>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20"/>
                <w:szCs w:val="20"/>
                <w:lang w:val="es-ES" w:eastAsia="es-MX"/>
              </w:rPr>
              <w:t>246,677</w:t>
            </w:r>
          </w:p>
        </w:tc>
      </w:tr>
    </w:tbl>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 </w:t>
      </w: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4) BIENES DISPONIBLES PARA SU TRANSFORMACIÓN (sin información que revelar)</w:t>
      </w: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5) BIENES DISPONIBLES PARA SU TRANSFORMACIÓN O CONSUMO (INVENTARIOS)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El método que se utiliza en la Depreciación de los bienes es el de Línea Recta, así mismo se considera que los bienes que se encuentran en uso se visualizan en buenas condiciones para seguir en funcionamiento.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lastRenderedPageBreak/>
        <w:t>NOTA 6) INVERSIONES FINANCIERAS *FIDEICOMISOS*  (sin información que revelar)</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7) INVERSIONES FINANCIERAS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Las inversiones de disponibilidades financieras asciende a $98’461,054 (noventa y ocho millones cuatrocientos sesenta y un mil cincuenta y cuatro pesos), contratado a tasa de interés preferencial así como disponibilidad inmediata y de corto plazo; mismos que están etiquetados para hacer frente a los compromisos con los que cuenta la institución.</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2525"/>
        <w:gridCol w:w="1225"/>
      </w:tblGrid>
      <w:tr w:rsidR="0091246D" w:rsidRPr="0091246D" w:rsidTr="006E3A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u w:val="single"/>
                <w:lang w:val="es-ES" w:eastAsia="es-MX"/>
              </w:rPr>
            </w:pPr>
            <w:r w:rsidRPr="0091246D">
              <w:rPr>
                <w:rFonts w:ascii="Trebuchet MS" w:eastAsia="Times New Roman" w:hAnsi="Trebuchet MS" w:cs="Times New Roman"/>
                <w:b/>
                <w:bCs/>
                <w:color w:val="000000"/>
                <w:sz w:val="20"/>
                <w:szCs w:val="20"/>
                <w:u w:val="single"/>
                <w:lang w:val="es-ES" w:eastAsia="es-MX"/>
              </w:rPr>
              <w:t>IMPORTE</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80’831,476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665,574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111,498 </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16’852,506</w:t>
            </w:r>
          </w:p>
        </w:tc>
      </w:tr>
      <w:tr w:rsidR="0091246D" w:rsidRPr="0091246D" w:rsidTr="006E3A9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 xml:space="preserve">98’461,054 </w:t>
            </w:r>
          </w:p>
        </w:tc>
      </w:tr>
    </w:tbl>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I.I.III</w:t>
      </w:r>
      <w:r w:rsidRPr="0091246D">
        <w:rPr>
          <w:rFonts w:ascii="Trebuchet MS" w:eastAsia="Times New Roman" w:hAnsi="Trebuchet MS" w:cs="Times New Roman"/>
          <w:sz w:val="24"/>
          <w:szCs w:val="24"/>
          <w:lang w:val="es-ES" w:eastAsia="es-ES"/>
        </w:rPr>
        <w:tab/>
        <w:t>Bienes Muebles, Inmuebles e Intangibles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NOTA 8) BIENES MUEBLES E INMUEBLES AL CIERRE DEL SEGUNDO TRIMESTRE 2020: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Se informa que se cuenta con inversiones en bienes como Terrenos, Edificios No Habitacionales, Mobiliario y Equipo de Administración, Equipo de Transporte así como Maquinaria, Otros Equipos y Herramientas, por un total de $364’118,932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(Trescientos sesenta y cuatro millones ciento dieciocho mil novecientos treinta y dos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91246D" w:rsidRPr="0091246D" w:rsidTr="006E3A97">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16"/>
                <w:lang w:val="es-ES" w:eastAsia="es-MX"/>
              </w:rPr>
            </w:pPr>
            <w:r w:rsidRPr="0091246D">
              <w:rPr>
                <w:rFonts w:ascii="Trebuchet MS" w:eastAsia="Times New Roman" w:hAnsi="Trebuchet MS" w:cs="Times New Roman"/>
                <w:b/>
                <w:bCs/>
                <w:color w:val="000000"/>
                <w:sz w:val="20"/>
                <w:szCs w:val="16"/>
                <w:lang w:val="es-ES" w:eastAsia="es-MX"/>
              </w:rPr>
              <w:t>BIENES MUEBLES E INMUEBLES E INTANGIBLES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16"/>
                <w:lang w:val="es-ES" w:eastAsia="es-MX"/>
              </w:rPr>
            </w:pPr>
            <w:r w:rsidRPr="0091246D">
              <w:rPr>
                <w:rFonts w:ascii="Trebuchet MS" w:eastAsia="Times New Roman" w:hAnsi="Trebuchet MS" w:cs="Times New Roman"/>
                <w:b/>
                <w:bCs/>
                <w:color w:val="000000"/>
                <w:sz w:val="20"/>
                <w:szCs w:val="16"/>
                <w:lang w:val="es-ES" w:eastAsia="es-MX"/>
              </w:rPr>
              <w:t>IMPORTE</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Terrenos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6’876,508</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Edificios No Habitacionales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224’406,258 </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Mobiliario Y Equipo De Administración</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102’739,269</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Mobiliario Y Equipo Educacional Y Recreativo</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3’335,097</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Vehículos Y Equipo De Transporte</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16’164,665</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Maquinaria, Otros Equipos Y Herramientas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4’950,513</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3’905,225</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1’741,397</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r w:rsidRPr="0091246D">
              <w:rPr>
                <w:rFonts w:ascii="Trebuchet MS" w:eastAsia="Times New Roman" w:hAnsi="Trebuchet MS" w:cs="Times New Roman"/>
                <w:b/>
                <w:color w:val="000000"/>
                <w:sz w:val="20"/>
                <w:szCs w:val="20"/>
                <w:lang w:val="es-ES" w:eastAsia="es-MX"/>
              </w:rPr>
              <w:t xml:space="preserve">364’118,932 </w:t>
            </w:r>
          </w:p>
        </w:tc>
      </w:tr>
    </w:tbl>
    <w:p w:rsidR="0091246D" w:rsidRPr="0091246D" w:rsidRDefault="0091246D" w:rsidP="0091246D">
      <w:pPr>
        <w:spacing w:after="0"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w:t>
      </w:r>
      <w:r w:rsidRPr="0091246D">
        <w:rPr>
          <w:rFonts w:ascii="Trebuchet MS" w:eastAsia="Times New Roman" w:hAnsi="Trebuchet MS" w:cs="Times New Roman"/>
          <w:sz w:val="24"/>
          <w:szCs w:val="24"/>
          <w:lang w:val="es-ES" w:eastAsia="es-ES"/>
        </w:rPr>
        <w:lastRenderedPageBreak/>
        <w:t xml:space="preserve">acumulada, lo montos acumulados de dicha depreciación se resume de la siguiente manera: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5504" w:type="dxa"/>
        <w:tblInd w:w="1362" w:type="dxa"/>
        <w:tblCellMar>
          <w:left w:w="70" w:type="dxa"/>
          <w:right w:w="70" w:type="dxa"/>
        </w:tblCellMar>
        <w:tblLook w:val="04A0" w:firstRow="1" w:lastRow="0" w:firstColumn="1" w:lastColumn="0" w:noHBand="0" w:noVBand="1"/>
      </w:tblPr>
      <w:tblGrid>
        <w:gridCol w:w="4222"/>
        <w:gridCol w:w="1282"/>
      </w:tblGrid>
      <w:tr w:rsidR="0091246D" w:rsidRPr="0091246D" w:rsidTr="006E3A97">
        <w:trPr>
          <w:trHeight w:val="475"/>
        </w:trPr>
        <w:tc>
          <w:tcPr>
            <w:tcW w:w="4222" w:type="dxa"/>
            <w:tcBorders>
              <w:top w:val="single" w:sz="8" w:space="0" w:color="auto"/>
              <w:left w:val="single" w:sz="8" w:space="0" w:color="auto"/>
              <w:bottom w:val="single" w:sz="8" w:space="0" w:color="auto"/>
              <w:right w:val="nil"/>
            </w:tcBorders>
            <w:shd w:val="clear" w:color="000000" w:fill="009900"/>
            <w:vAlign w:val="center"/>
            <w:hideMark/>
          </w:tcPr>
          <w:p w:rsidR="0091246D" w:rsidRPr="0091246D" w:rsidRDefault="0091246D" w:rsidP="0091246D">
            <w:pPr>
              <w:spacing w:after="0" w:line="240" w:lineRule="auto"/>
              <w:jc w:val="center"/>
              <w:rPr>
                <w:rFonts w:ascii="Trebuchet MS" w:eastAsia="Times New Roman" w:hAnsi="Trebuchet MS" w:cs="Tahoma"/>
                <w:b/>
                <w:bCs/>
                <w:i/>
                <w:iCs/>
                <w:color w:val="000000"/>
                <w:sz w:val="10"/>
                <w:szCs w:val="10"/>
                <w:lang w:eastAsia="es-MX"/>
              </w:rPr>
            </w:pPr>
            <w:r w:rsidRPr="0091246D">
              <w:rPr>
                <w:rFonts w:ascii="Trebuchet MS" w:eastAsia="Times New Roman" w:hAnsi="Trebuchet MS" w:cs="Tahoma"/>
                <w:b/>
                <w:bCs/>
                <w:i/>
                <w:iCs/>
                <w:color w:val="000000"/>
                <w:sz w:val="10"/>
                <w:szCs w:val="10"/>
                <w:lang w:eastAsia="es-MX"/>
              </w:rPr>
              <w:t>CONCEPTO</w:t>
            </w:r>
          </w:p>
        </w:tc>
        <w:tc>
          <w:tcPr>
            <w:tcW w:w="1282"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91246D" w:rsidRPr="0091246D" w:rsidRDefault="0091246D" w:rsidP="0091246D">
            <w:pPr>
              <w:spacing w:after="0" w:line="240" w:lineRule="auto"/>
              <w:jc w:val="center"/>
              <w:rPr>
                <w:rFonts w:ascii="Trebuchet MS" w:eastAsia="Times New Roman" w:hAnsi="Trebuchet MS" w:cs="Tahoma"/>
                <w:b/>
                <w:bCs/>
                <w:i/>
                <w:iCs/>
                <w:color w:val="000000"/>
                <w:sz w:val="10"/>
                <w:szCs w:val="10"/>
                <w:lang w:eastAsia="es-MX"/>
              </w:rPr>
            </w:pPr>
            <w:r w:rsidRPr="0091246D">
              <w:rPr>
                <w:rFonts w:ascii="Trebuchet MS" w:eastAsia="Times New Roman" w:hAnsi="Trebuchet MS" w:cs="Tahoma"/>
                <w:b/>
                <w:bCs/>
                <w:i/>
                <w:iCs/>
                <w:color w:val="000000"/>
                <w:sz w:val="10"/>
                <w:szCs w:val="10"/>
                <w:lang w:eastAsia="es-MX"/>
              </w:rPr>
              <w:t>DEPRECIACIÓN ACUMULADA</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Edificios No Habitacional</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42,199,173</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Muebles de Oficina y Estantería</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1,404,708</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Otros Mobiliarios y Equipos de Administración</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685,218</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Equipo de Comunicación y Telecomunicación</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500</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 </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Equipo de Cómputo y Tecnologías de la Información</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40,881,581</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 </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Equipos y Aparatos Audiovisuales</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2,096,669</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Cámaras Fotográficas y de Video</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1,120,571</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otro Mobiliario Educacional y Recreativo</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4,659</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 </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Equipo de Transporte</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15,376,529</w:t>
            </w:r>
          </w:p>
        </w:tc>
      </w:tr>
      <w:tr w:rsidR="0091246D" w:rsidRPr="0091246D" w:rsidTr="006E3A97">
        <w:trPr>
          <w:trHeight w:val="454"/>
        </w:trPr>
        <w:tc>
          <w:tcPr>
            <w:tcW w:w="4222" w:type="dxa"/>
            <w:tcBorders>
              <w:top w:val="nil"/>
              <w:left w:val="single" w:sz="8" w:space="0" w:color="auto"/>
              <w:bottom w:val="single" w:sz="4" w:space="0" w:color="auto"/>
              <w:right w:val="single" w:sz="4" w:space="0" w:color="auto"/>
            </w:tcBorders>
            <w:shd w:val="clear" w:color="000000" w:fill="FFFFFF"/>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Sistemas de Aire Acondicionado, Calefacción y de Refrigeración Industrial y Comercial</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15,955</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 </w:t>
            </w:r>
          </w:p>
        </w:tc>
      </w:tr>
      <w:tr w:rsidR="0091246D" w:rsidRPr="0091246D" w:rsidTr="006E3A9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Herramientas y Maquinarias - Herramientas</w:t>
            </w:r>
          </w:p>
        </w:tc>
        <w:tc>
          <w:tcPr>
            <w:tcW w:w="1282" w:type="dxa"/>
            <w:tcBorders>
              <w:top w:val="nil"/>
              <w:left w:val="nil"/>
              <w:bottom w:val="single" w:sz="4"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1,369</w:t>
            </w:r>
          </w:p>
        </w:tc>
      </w:tr>
      <w:tr w:rsidR="0091246D" w:rsidRPr="0091246D" w:rsidTr="006E3A97">
        <w:trPr>
          <w:trHeight w:val="248"/>
        </w:trPr>
        <w:tc>
          <w:tcPr>
            <w:tcW w:w="4222" w:type="dxa"/>
            <w:tcBorders>
              <w:top w:val="nil"/>
              <w:left w:val="single" w:sz="8" w:space="0" w:color="auto"/>
              <w:bottom w:val="single" w:sz="8" w:space="0" w:color="auto"/>
              <w:right w:val="single" w:sz="4"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0"/>
                <w:lang w:eastAsia="es-MX"/>
              </w:rPr>
            </w:pPr>
            <w:r w:rsidRPr="0091246D">
              <w:rPr>
                <w:rFonts w:ascii="Trebuchet MS" w:eastAsia="Times New Roman" w:hAnsi="Trebuchet MS" w:cs="Tahoma"/>
                <w:color w:val="000000"/>
                <w:sz w:val="12"/>
                <w:szCs w:val="10"/>
                <w:lang w:eastAsia="es-MX"/>
              </w:rPr>
              <w:t>Depreciación Acumulada de Otros Equipos</w:t>
            </w:r>
          </w:p>
        </w:tc>
        <w:tc>
          <w:tcPr>
            <w:tcW w:w="1282" w:type="dxa"/>
            <w:tcBorders>
              <w:top w:val="nil"/>
              <w:left w:val="nil"/>
              <w:bottom w:val="single" w:sz="8" w:space="0" w:color="auto"/>
              <w:right w:val="single" w:sz="8" w:space="0" w:color="auto"/>
            </w:tcBorders>
            <w:shd w:val="clear" w:color="000000" w:fill="FFFFFF"/>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4"/>
                <w:szCs w:val="10"/>
                <w:lang w:val="es-ES" w:eastAsia="es-ES"/>
              </w:rPr>
            </w:pPr>
            <w:r w:rsidRPr="0091246D">
              <w:rPr>
                <w:rFonts w:ascii="Trebuchet MS" w:eastAsia="Times New Roman" w:hAnsi="Trebuchet MS" w:cs="Times New Roman"/>
                <w:color w:val="000000"/>
                <w:sz w:val="14"/>
                <w:szCs w:val="10"/>
                <w:lang w:val="es-ES" w:eastAsia="es-ES"/>
              </w:rPr>
              <w:t>10,342</w:t>
            </w: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Método de depreciación en línea recta.</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91246D" w:rsidRPr="0091246D" w:rsidTr="006E3A97">
        <w:trPr>
          <w:trHeight w:val="375"/>
        </w:trPr>
        <w:tc>
          <w:tcPr>
            <w:tcW w:w="3713" w:type="dxa"/>
            <w:tcBorders>
              <w:top w:val="single" w:sz="8" w:space="0" w:color="auto"/>
              <w:left w:val="single" w:sz="8" w:space="0" w:color="auto"/>
              <w:bottom w:val="single" w:sz="8" w:space="0" w:color="auto"/>
              <w:right w:val="nil"/>
            </w:tcBorders>
            <w:shd w:val="clear" w:color="000000" w:fill="009900"/>
            <w:noWrap/>
            <w:vAlign w:val="center"/>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PORCENTAJE DEPRECIACIÓN</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10%</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33.33%</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20%</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3%</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20%</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10%</w:t>
            </w:r>
          </w:p>
        </w:tc>
      </w:tr>
      <w:tr w:rsidR="0091246D" w:rsidRPr="0091246D" w:rsidTr="006E3A97">
        <w:trPr>
          <w:trHeight w:val="180"/>
        </w:trPr>
        <w:tc>
          <w:tcPr>
            <w:tcW w:w="3713" w:type="dxa"/>
            <w:tcBorders>
              <w:top w:val="nil"/>
              <w:left w:val="single" w:sz="8" w:space="0" w:color="auto"/>
              <w:bottom w:val="nil"/>
              <w:right w:val="nil"/>
            </w:tcBorders>
            <w:shd w:val="clear" w:color="auto" w:fill="auto"/>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33.33%</w:t>
            </w:r>
          </w:p>
        </w:tc>
      </w:tr>
      <w:tr w:rsidR="0091246D" w:rsidRPr="0091246D" w:rsidTr="006E3A97">
        <w:trPr>
          <w:trHeight w:val="195"/>
        </w:trPr>
        <w:tc>
          <w:tcPr>
            <w:tcW w:w="3713" w:type="dxa"/>
            <w:tcBorders>
              <w:top w:val="nil"/>
              <w:left w:val="single" w:sz="8" w:space="0" w:color="auto"/>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33.33%</w:t>
            </w: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NOTA 9) BIENES INTANGIBLES AL CIERRE DEL SEGUNDO TRIMESTRE 2020: </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tbl>
      <w:tblPr>
        <w:tblpPr w:leftFromText="141" w:rightFromText="141" w:vertAnchor="text" w:horzAnchor="margin" w:tblpY="166"/>
        <w:tblW w:w="7711" w:type="dxa"/>
        <w:tblCellMar>
          <w:left w:w="70" w:type="dxa"/>
          <w:right w:w="70" w:type="dxa"/>
        </w:tblCellMar>
        <w:tblLook w:val="04A0" w:firstRow="1" w:lastRow="0" w:firstColumn="1" w:lastColumn="0" w:noHBand="0" w:noVBand="1"/>
      </w:tblPr>
      <w:tblGrid>
        <w:gridCol w:w="4323"/>
        <w:gridCol w:w="1840"/>
        <w:gridCol w:w="1548"/>
      </w:tblGrid>
      <w:tr w:rsidR="0091246D" w:rsidRPr="0091246D" w:rsidTr="006E3A97">
        <w:trPr>
          <w:trHeight w:val="510"/>
        </w:trPr>
        <w:tc>
          <w:tcPr>
            <w:tcW w:w="4323" w:type="dxa"/>
            <w:tcBorders>
              <w:top w:val="single" w:sz="4" w:space="0" w:color="auto"/>
              <w:left w:val="single" w:sz="4" w:space="0" w:color="auto"/>
              <w:bottom w:val="single" w:sz="4" w:space="0" w:color="auto"/>
              <w:right w:val="single" w:sz="4" w:space="0" w:color="auto"/>
            </w:tcBorders>
            <w:shd w:val="pct15" w:color="auto" w:fill="009900"/>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16"/>
                <w:lang w:val="es-ES" w:eastAsia="es-MX"/>
              </w:rPr>
            </w:pPr>
            <w:r w:rsidRPr="0091246D">
              <w:rPr>
                <w:rFonts w:ascii="Trebuchet MS" w:eastAsia="Times New Roman" w:hAnsi="Trebuchet MS" w:cs="Times New Roman"/>
                <w:b/>
                <w:bCs/>
                <w:color w:val="000000"/>
                <w:sz w:val="20"/>
                <w:szCs w:val="16"/>
                <w:lang w:val="es-ES" w:eastAsia="es-MX"/>
              </w:rPr>
              <w:t>BIENES MUEBLES E INMUEBLES E INTANGIBLES</w:t>
            </w:r>
          </w:p>
        </w:tc>
        <w:tc>
          <w:tcPr>
            <w:tcW w:w="1840" w:type="dxa"/>
            <w:tcBorders>
              <w:top w:val="single" w:sz="4" w:space="0" w:color="auto"/>
              <w:left w:val="nil"/>
              <w:bottom w:val="single" w:sz="4" w:space="0" w:color="auto"/>
              <w:right w:val="single" w:sz="4" w:space="0" w:color="auto"/>
            </w:tcBorders>
            <w:shd w:val="pct15"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16"/>
                <w:lang w:val="es-ES" w:eastAsia="es-MX"/>
              </w:rPr>
            </w:pPr>
            <w:r w:rsidRPr="0091246D">
              <w:rPr>
                <w:rFonts w:ascii="Trebuchet MS" w:eastAsia="Times New Roman" w:hAnsi="Trebuchet MS" w:cs="Times New Roman"/>
                <w:b/>
                <w:bCs/>
                <w:color w:val="000000"/>
                <w:sz w:val="20"/>
                <w:szCs w:val="16"/>
                <w:lang w:val="es-ES" w:eastAsia="es-MX"/>
              </w:rPr>
              <w:t>IMPORTE</w:t>
            </w:r>
          </w:p>
        </w:tc>
        <w:tc>
          <w:tcPr>
            <w:tcW w:w="1548" w:type="dxa"/>
            <w:tcBorders>
              <w:top w:val="single" w:sz="4" w:space="0" w:color="auto"/>
              <w:left w:val="nil"/>
              <w:bottom w:val="single" w:sz="4" w:space="0" w:color="auto"/>
              <w:right w:val="single" w:sz="4" w:space="0" w:color="auto"/>
            </w:tcBorders>
            <w:shd w:val="pct15" w:color="auto" w:fill="009900"/>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16"/>
                <w:lang w:val="es-ES" w:eastAsia="es-MX"/>
              </w:rPr>
            </w:pPr>
            <w:r w:rsidRPr="0091246D">
              <w:rPr>
                <w:rFonts w:ascii="Trebuchet MS" w:eastAsia="Times New Roman" w:hAnsi="Trebuchet MS" w:cs="Times New Roman"/>
                <w:b/>
                <w:bCs/>
                <w:color w:val="000000"/>
                <w:sz w:val="20"/>
                <w:szCs w:val="16"/>
                <w:lang w:val="es-ES" w:eastAsia="es-MX"/>
              </w:rPr>
              <w:t xml:space="preserve">AMORTIZACIÓN </w:t>
            </w:r>
          </w:p>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16"/>
                <w:lang w:val="es-ES" w:eastAsia="es-MX"/>
              </w:rPr>
            </w:pPr>
            <w:r w:rsidRPr="0091246D">
              <w:rPr>
                <w:rFonts w:ascii="Trebuchet MS" w:eastAsia="Times New Roman" w:hAnsi="Trebuchet MS" w:cs="Times New Roman"/>
                <w:b/>
                <w:bCs/>
                <w:color w:val="000000"/>
                <w:sz w:val="20"/>
                <w:szCs w:val="16"/>
                <w:lang w:val="es-ES" w:eastAsia="es-MX"/>
              </w:rPr>
              <w:t>ACUMULADA</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3’905,224</w:t>
            </w:r>
          </w:p>
        </w:tc>
        <w:tc>
          <w:tcPr>
            <w:tcW w:w="1548" w:type="dxa"/>
            <w:tcBorders>
              <w:top w:val="nil"/>
              <w:left w:val="nil"/>
              <w:bottom w:val="single" w:sz="4" w:space="0" w:color="auto"/>
              <w:right w:val="single" w:sz="4" w:space="0" w:color="auto"/>
            </w:tcBorders>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3,828,975</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1’741,397</w:t>
            </w:r>
          </w:p>
        </w:tc>
        <w:tc>
          <w:tcPr>
            <w:tcW w:w="1548" w:type="dxa"/>
            <w:tcBorders>
              <w:top w:val="nil"/>
              <w:left w:val="nil"/>
              <w:bottom w:val="single" w:sz="4" w:space="0" w:color="auto"/>
              <w:right w:val="single" w:sz="4" w:space="0" w:color="auto"/>
            </w:tcBorders>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1,778,923</w:t>
            </w:r>
          </w:p>
        </w:tc>
      </w:tr>
      <w:tr w:rsidR="0091246D" w:rsidRPr="0091246D" w:rsidTr="006E3A9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
                <w:color w:val="000000"/>
                <w:sz w:val="20"/>
                <w:szCs w:val="20"/>
                <w:lang w:val="es-ES" w:eastAsia="es-MX"/>
              </w:rPr>
              <w:t xml:space="preserve">5’646,621 </w:t>
            </w:r>
          </w:p>
        </w:tc>
        <w:tc>
          <w:tcPr>
            <w:tcW w:w="1548" w:type="dxa"/>
            <w:tcBorders>
              <w:top w:val="nil"/>
              <w:left w:val="nil"/>
              <w:bottom w:val="single" w:sz="4" w:space="0" w:color="auto"/>
              <w:right w:val="single" w:sz="4" w:space="0" w:color="auto"/>
            </w:tcBorders>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r w:rsidRPr="0091246D">
              <w:rPr>
                <w:rFonts w:ascii="Trebuchet MS" w:eastAsia="Times New Roman" w:hAnsi="Trebuchet MS" w:cs="Times New Roman"/>
                <w:b/>
                <w:color w:val="000000"/>
                <w:sz w:val="20"/>
                <w:szCs w:val="20"/>
                <w:lang w:val="es-ES" w:eastAsia="es-MX"/>
              </w:rPr>
              <w:t>5,607,898</w:t>
            </w:r>
          </w:p>
        </w:tc>
      </w:tr>
    </w:tbl>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Método de amortización en línea recta.</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lastRenderedPageBreak/>
        <w:t>ESTIMACIÓN DE DETERIOROS</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10) ESTIMACIÓN DE DETERIOROS (sin información que revelar)</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OTROS ACTIVOS</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11) OTROS ACTIVOS (sin información que revelar)</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w:t>
      </w:r>
      <w:r w:rsidRPr="0091246D">
        <w:rPr>
          <w:rFonts w:ascii="Trebuchet MS" w:eastAsia="Times New Roman" w:hAnsi="Trebuchet MS" w:cs="Times New Roman"/>
          <w:sz w:val="24"/>
          <w:szCs w:val="24"/>
          <w:lang w:val="es-ES" w:eastAsia="es-ES"/>
        </w:rPr>
        <w:tab/>
        <w:t>Pasivo</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I.II.I</w:t>
      </w:r>
      <w:r w:rsidRPr="0091246D">
        <w:rPr>
          <w:rFonts w:ascii="Trebuchet MS" w:eastAsia="Times New Roman" w:hAnsi="Trebuchet MS" w:cs="Times New Roman"/>
          <w:sz w:val="24"/>
          <w:szCs w:val="24"/>
          <w:lang w:val="es-ES" w:eastAsia="es-ES"/>
        </w:rPr>
        <w:tab/>
        <w:t xml:space="preserve">Cuentas Por Pagar A Corto Plazo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12) Las cuentas por pagar se desagregan de la siguiente manera:</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8868" w:type="dxa"/>
        <w:tblInd w:w="55" w:type="dxa"/>
        <w:tblCellMar>
          <w:left w:w="70" w:type="dxa"/>
          <w:right w:w="70" w:type="dxa"/>
        </w:tblCellMar>
        <w:tblLook w:val="04A0" w:firstRow="1" w:lastRow="0" w:firstColumn="1" w:lastColumn="0" w:noHBand="0" w:noVBand="1"/>
      </w:tblPr>
      <w:tblGrid>
        <w:gridCol w:w="1886"/>
        <w:gridCol w:w="1835"/>
        <w:gridCol w:w="1210"/>
        <w:gridCol w:w="830"/>
        <w:gridCol w:w="672"/>
        <w:gridCol w:w="777"/>
        <w:gridCol w:w="777"/>
        <w:gridCol w:w="881"/>
      </w:tblGrid>
      <w:tr w:rsidR="0091246D" w:rsidRPr="0091246D" w:rsidTr="006E3A97">
        <w:trPr>
          <w:trHeight w:val="188"/>
        </w:trPr>
        <w:tc>
          <w:tcPr>
            <w:tcW w:w="3721" w:type="dxa"/>
            <w:gridSpan w:val="2"/>
            <w:vMerge w:val="restart"/>
            <w:tcBorders>
              <w:top w:val="single" w:sz="8" w:space="0" w:color="auto"/>
              <w:left w:val="single" w:sz="8" w:space="0" w:color="auto"/>
              <w:bottom w:val="single" w:sz="8" w:space="0" w:color="000000"/>
              <w:right w:val="nil"/>
            </w:tcBorders>
            <w:shd w:val="clear" w:color="000000" w:fill="009900"/>
            <w:vAlign w:val="center"/>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000000" w:fill="009900"/>
            <w:noWrap/>
            <w:vAlign w:val="center"/>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 xml:space="preserve">IMPORTE </w:t>
            </w:r>
          </w:p>
        </w:tc>
        <w:tc>
          <w:tcPr>
            <w:tcW w:w="3937" w:type="dxa"/>
            <w:gridSpan w:val="5"/>
            <w:vMerge w:val="restart"/>
            <w:tcBorders>
              <w:top w:val="single" w:sz="8" w:space="0" w:color="auto"/>
              <w:left w:val="single" w:sz="8" w:space="0" w:color="auto"/>
              <w:bottom w:val="nil"/>
              <w:right w:val="single" w:sz="8" w:space="0" w:color="000000"/>
            </w:tcBorders>
            <w:shd w:val="clear" w:color="000000" w:fill="009900"/>
            <w:noWrap/>
            <w:vAlign w:val="center"/>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VENCIMIENTO</w:t>
            </w:r>
          </w:p>
        </w:tc>
      </w:tr>
      <w:tr w:rsidR="0091246D" w:rsidRPr="0091246D" w:rsidTr="006E3A97">
        <w:trPr>
          <w:trHeight w:val="263"/>
        </w:trPr>
        <w:tc>
          <w:tcPr>
            <w:tcW w:w="3721" w:type="dxa"/>
            <w:gridSpan w:val="2"/>
            <w:vMerge/>
            <w:tcBorders>
              <w:top w:val="single" w:sz="8" w:space="0" w:color="auto"/>
              <w:left w:val="single" w:sz="8" w:space="0" w:color="auto"/>
              <w:bottom w:val="single" w:sz="8" w:space="0" w:color="000000"/>
              <w:right w:val="nil"/>
            </w:tcBorders>
            <w:vAlign w:val="center"/>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p>
        </w:tc>
        <w:tc>
          <w:tcPr>
            <w:tcW w:w="3937" w:type="dxa"/>
            <w:gridSpan w:val="5"/>
            <w:vMerge/>
            <w:tcBorders>
              <w:top w:val="single" w:sz="8" w:space="0" w:color="auto"/>
              <w:left w:val="single" w:sz="8" w:space="0" w:color="auto"/>
              <w:bottom w:val="single" w:sz="8" w:space="0" w:color="auto"/>
              <w:right w:val="single" w:sz="8" w:space="0" w:color="000000"/>
            </w:tcBorders>
            <w:vAlign w:val="center"/>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p>
        </w:tc>
      </w:tr>
      <w:tr w:rsidR="0091246D" w:rsidRPr="0091246D" w:rsidTr="006E3A97">
        <w:trPr>
          <w:trHeight w:val="165"/>
        </w:trPr>
        <w:tc>
          <w:tcPr>
            <w:tcW w:w="3721" w:type="dxa"/>
            <w:gridSpan w:val="2"/>
            <w:vMerge/>
            <w:tcBorders>
              <w:top w:val="single" w:sz="8" w:space="0" w:color="auto"/>
              <w:left w:val="single" w:sz="8" w:space="0" w:color="auto"/>
              <w:bottom w:val="single" w:sz="8" w:space="0" w:color="000000"/>
              <w:right w:val="nil"/>
            </w:tcBorders>
            <w:vAlign w:val="center"/>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p>
        </w:tc>
        <w:tc>
          <w:tcPr>
            <w:tcW w:w="830" w:type="dxa"/>
            <w:tcBorders>
              <w:top w:val="single" w:sz="8" w:space="0" w:color="auto"/>
              <w:left w:val="nil"/>
              <w:bottom w:val="single" w:sz="8" w:space="0" w:color="auto"/>
              <w:right w:val="single" w:sz="8" w:space="0" w:color="auto"/>
            </w:tcBorders>
            <w:shd w:val="clear" w:color="000000" w:fill="009900"/>
            <w:noWrap/>
            <w:vAlign w:val="bottom"/>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&gt; 90 DIAS</w:t>
            </w:r>
          </w:p>
        </w:tc>
        <w:tc>
          <w:tcPr>
            <w:tcW w:w="672" w:type="dxa"/>
            <w:tcBorders>
              <w:top w:val="single" w:sz="8" w:space="0" w:color="auto"/>
              <w:left w:val="nil"/>
              <w:bottom w:val="single" w:sz="8" w:space="0" w:color="auto"/>
              <w:right w:val="single" w:sz="8" w:space="0" w:color="auto"/>
            </w:tcBorders>
            <w:shd w:val="clear" w:color="000000" w:fill="009900"/>
            <w:noWrap/>
            <w:vAlign w:val="bottom"/>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90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180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 xml:space="preserve">365 DIAS </w:t>
            </w:r>
          </w:p>
        </w:tc>
        <w:tc>
          <w:tcPr>
            <w:tcW w:w="881" w:type="dxa"/>
            <w:tcBorders>
              <w:top w:val="single" w:sz="8" w:space="0" w:color="auto"/>
              <w:left w:val="nil"/>
              <w:bottom w:val="single" w:sz="8" w:space="0" w:color="auto"/>
              <w:right w:val="single" w:sz="8" w:space="0" w:color="auto"/>
            </w:tcBorders>
            <w:shd w:val="clear" w:color="000000" w:fill="009900"/>
            <w:noWrap/>
            <w:vAlign w:val="bottom"/>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&lt;365 DIAS</w:t>
            </w:r>
          </w:p>
        </w:tc>
      </w:tr>
      <w:tr w:rsidR="0091246D" w:rsidRPr="0091246D" w:rsidTr="006E3A97">
        <w:trPr>
          <w:trHeight w:val="192"/>
        </w:trPr>
        <w:tc>
          <w:tcPr>
            <w:tcW w:w="3721" w:type="dxa"/>
            <w:gridSpan w:val="2"/>
            <w:tcBorders>
              <w:top w:val="single" w:sz="8"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SERVICIOS PERSONALES POR PAGAR A CORTO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7,809,196</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PROVEEDORES POR PAGAR A CORTO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116,070</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TRANSFERENCIAS OTORGADAS POR PAGAR A CORTO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772,834</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77"/>
        </w:trPr>
        <w:tc>
          <w:tcPr>
            <w:tcW w:w="1886" w:type="dxa"/>
            <w:tcBorders>
              <w:top w:val="nil"/>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835"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RETENCIONES Y CONTRIBUCIONES POR PAGAR A CORTO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$ 14,020,368</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77"/>
        </w:trPr>
        <w:tc>
          <w:tcPr>
            <w:tcW w:w="1886" w:type="dxa"/>
            <w:tcBorders>
              <w:top w:val="nil"/>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835"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OTRAS CUENTAS POR PAGAR A CORTO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$ 60,000,000</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x</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PROVEEDORES POR PAGAR A LARGO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134,359</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OTRAS PROVISIONES A LARGO PLAZO</w:t>
            </w:r>
          </w:p>
        </w:tc>
        <w:tc>
          <w:tcPr>
            <w:tcW w:w="121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$ 15,100,893</w:t>
            </w:r>
          </w:p>
        </w:tc>
        <w:tc>
          <w:tcPr>
            <w:tcW w:w="830"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95"/>
        </w:trPr>
        <w:tc>
          <w:tcPr>
            <w:tcW w:w="1886" w:type="dxa"/>
            <w:tcBorders>
              <w:top w:val="nil"/>
              <w:left w:val="single" w:sz="8" w:space="0" w:color="auto"/>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835"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210"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30"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jc w:val="center"/>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672"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777"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881" w:type="dxa"/>
            <w:tcBorders>
              <w:top w:val="nil"/>
              <w:left w:val="nil"/>
              <w:bottom w:val="single" w:sz="8"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REMUNERACIONES POR PAGAR A CORTO PLAZO: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Contempla erogaciones relativas a servicios personales que se integran principalmente por la provisión de Remuneraciones por pagar al cierre </w:t>
      </w:r>
      <w:r w:rsidRPr="0091246D">
        <w:rPr>
          <w:rFonts w:ascii="Trebuchet MS" w:eastAsia="Times New Roman" w:hAnsi="Trebuchet MS" w:cs="Times New Roman"/>
          <w:spacing w:val="-4"/>
          <w:sz w:val="24"/>
          <w:szCs w:val="24"/>
          <w:lang w:val="es-ES" w:eastAsia="es-ES"/>
        </w:rPr>
        <w:t>del Segundo Trimestre 2020</w:t>
      </w:r>
      <w:r w:rsidRPr="0091246D">
        <w:rPr>
          <w:rFonts w:ascii="Trebuchet MS" w:eastAsia="Times New Roman" w:hAnsi="Trebuchet MS" w:cs="Times New Roman"/>
          <w:sz w:val="24"/>
          <w:szCs w:val="24"/>
          <w:lang w:val="es-ES" w:eastAsia="es-ES"/>
        </w:rPr>
        <w:t>, cuyo saldo es por la cantidad de $7</w:t>
      </w:r>
      <w:proofErr w:type="gramStart"/>
      <w:r w:rsidRPr="0091246D">
        <w:rPr>
          <w:rFonts w:ascii="Trebuchet MS" w:eastAsia="Times New Roman" w:hAnsi="Trebuchet MS" w:cs="Times New Roman"/>
          <w:sz w:val="24"/>
          <w:szCs w:val="24"/>
          <w:lang w:val="es-ES" w:eastAsia="es-ES"/>
        </w:rPr>
        <w:t>,809,196</w:t>
      </w:r>
      <w:proofErr w:type="gramEnd"/>
      <w:r w:rsidRPr="0091246D">
        <w:rPr>
          <w:rFonts w:ascii="Trebuchet MS" w:eastAsia="Times New Roman" w:hAnsi="Trebuchet MS" w:cs="Times New Roman"/>
          <w:sz w:val="24"/>
          <w:szCs w:val="24"/>
          <w:lang w:val="es-ES" w:eastAsia="es-ES"/>
        </w:rPr>
        <w:t xml:space="preserve"> (siete millones ochocientos nueve mil ciento noventa y seis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91246D" w:rsidRPr="0091246D" w:rsidTr="006E3A97">
        <w:trPr>
          <w:trHeight w:val="473"/>
        </w:trPr>
        <w:tc>
          <w:tcPr>
            <w:tcW w:w="3152" w:type="dxa"/>
            <w:tcBorders>
              <w:top w:val="single" w:sz="4" w:space="0" w:color="auto"/>
              <w:left w:val="single" w:sz="4" w:space="0" w:color="auto"/>
              <w:bottom w:val="single" w:sz="4" w:space="0" w:color="auto"/>
              <w:right w:val="single" w:sz="4" w:space="0" w:color="auto"/>
            </w:tcBorders>
            <w:shd w:val="pct20" w:color="auto" w:fill="009900"/>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18"/>
                <w:szCs w:val="18"/>
                <w:lang w:val="es-ES" w:eastAsia="es-MX"/>
              </w:rPr>
            </w:pPr>
            <w:r w:rsidRPr="0091246D">
              <w:rPr>
                <w:rFonts w:ascii="Trebuchet MS" w:eastAsia="Times New Roman" w:hAnsi="Trebuchet MS" w:cs="Times New Roman"/>
                <w:b/>
                <w:bCs/>
                <w:color w:val="000000"/>
                <w:sz w:val="18"/>
                <w:szCs w:val="18"/>
                <w:lang w:val="es-ES" w:eastAsia="es-MX"/>
              </w:rPr>
              <w:lastRenderedPageBreak/>
              <w:t>Remuneración por pagar al Personal de carácter permanente</w:t>
            </w:r>
          </w:p>
        </w:tc>
        <w:tc>
          <w:tcPr>
            <w:tcW w:w="1861" w:type="dxa"/>
            <w:tcBorders>
              <w:top w:val="single" w:sz="4" w:space="0" w:color="auto"/>
              <w:left w:val="nil"/>
              <w:bottom w:val="single" w:sz="4" w:space="0" w:color="auto"/>
              <w:right w:val="single" w:sz="4" w:space="0" w:color="auto"/>
            </w:tcBorders>
            <w:shd w:val="pct20"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18"/>
                <w:szCs w:val="18"/>
                <w:lang w:val="es-ES" w:eastAsia="es-MX"/>
              </w:rPr>
            </w:pPr>
            <w:r w:rsidRPr="0091246D">
              <w:rPr>
                <w:rFonts w:ascii="Trebuchet MS" w:eastAsia="Times New Roman" w:hAnsi="Trebuchet MS" w:cs="Times New Roman"/>
                <w:b/>
                <w:bCs/>
                <w:color w:val="000000"/>
                <w:sz w:val="18"/>
                <w:szCs w:val="18"/>
                <w:lang w:val="es-ES" w:eastAsia="es-MX"/>
              </w:rPr>
              <w:t>Importe</w:t>
            </w: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color w:val="000000"/>
                <w:sz w:val="18"/>
                <w:szCs w:val="18"/>
                <w:lang w:val="es-ES" w:eastAsia="es-MX"/>
              </w:rPr>
              <w:t>Remuneraciones por pagar al Personal  de carácter</w:t>
            </w:r>
          </w:p>
        </w:tc>
        <w:tc>
          <w:tcPr>
            <w:tcW w:w="1861"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color w:val="000000"/>
                <w:sz w:val="18"/>
                <w:szCs w:val="18"/>
                <w:lang w:val="es-ES" w:eastAsia="es-MX"/>
              </w:rPr>
              <w:t xml:space="preserve">1,440,628 </w:t>
            </w: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color w:val="000000"/>
                <w:sz w:val="18"/>
                <w:szCs w:val="18"/>
                <w:lang w:val="es-ES" w:eastAsia="es-MX"/>
              </w:rPr>
              <w:t>Sueldo base al personal permanente</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color w:val="000000"/>
                <w:sz w:val="18"/>
                <w:szCs w:val="18"/>
                <w:lang w:val="es-ES" w:eastAsia="es-MX"/>
              </w:rPr>
              <w:t xml:space="preserve">Remuneraciones Adicional y Especiales por pagar a </w:t>
            </w:r>
            <w:proofErr w:type="spellStart"/>
            <w:r w:rsidRPr="0091246D">
              <w:rPr>
                <w:rFonts w:ascii="Trebuchet MS" w:eastAsia="Times New Roman" w:hAnsi="Trebuchet MS" w:cs="Times New Roman"/>
                <w:color w:val="000000"/>
                <w:sz w:val="18"/>
                <w:szCs w:val="18"/>
                <w:lang w:val="es-ES" w:eastAsia="es-MX"/>
              </w:rPr>
              <w:t>cp</w:t>
            </w:r>
            <w:proofErr w:type="spellEnd"/>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b/>
                <w:color w:val="000000"/>
                <w:sz w:val="18"/>
                <w:szCs w:val="18"/>
                <w:lang w:val="es-ES" w:eastAsia="es-MX"/>
              </w:rPr>
              <w:t>Seguridad Social y Seguros por pagar a corto plazo</w:t>
            </w:r>
            <w:r w:rsidRPr="0091246D">
              <w:rPr>
                <w:rFonts w:ascii="Trebuchet MS" w:eastAsia="Times New Roman" w:hAnsi="Trebuchet MS" w:cs="Times New Roman"/>
                <w:color w:val="000000"/>
                <w:sz w:val="18"/>
                <w:szCs w:val="18"/>
                <w:lang w:val="es-ES"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color w:val="000000"/>
                <w:sz w:val="18"/>
                <w:szCs w:val="18"/>
                <w:lang w:val="es-ES" w:eastAsia="es-MX"/>
              </w:rPr>
              <w:t>Instituto Mexicano del Seguro Social</w:t>
            </w:r>
          </w:p>
        </w:tc>
        <w:tc>
          <w:tcPr>
            <w:tcW w:w="1861"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color w:val="000000"/>
                <w:sz w:val="18"/>
                <w:szCs w:val="18"/>
                <w:lang w:val="es-ES" w:eastAsia="es-MX"/>
              </w:rPr>
              <w:t>6,368,568</w:t>
            </w: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b/>
                <w:color w:val="000000"/>
                <w:sz w:val="18"/>
                <w:szCs w:val="18"/>
                <w:lang w:val="es-ES" w:eastAsia="es-MX"/>
              </w:rPr>
              <w:t>Otras prestaciones sociales y económicas por pagar</w:t>
            </w:r>
            <w:r w:rsidRPr="0091246D">
              <w:rPr>
                <w:rFonts w:ascii="Trebuchet MS" w:eastAsia="Times New Roman" w:hAnsi="Trebuchet MS" w:cs="Times New Roman"/>
                <w:color w:val="000000"/>
                <w:sz w:val="18"/>
                <w:szCs w:val="18"/>
                <w:lang w:val="es-ES"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p>
        </w:tc>
      </w:tr>
      <w:tr w:rsidR="0091246D" w:rsidRPr="0091246D" w:rsidTr="006E3A9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b/>
                <w:bCs/>
                <w:color w:val="000000"/>
                <w:sz w:val="18"/>
                <w:szCs w:val="18"/>
                <w:lang w:val="es-ES" w:eastAsia="es-MX"/>
              </w:rPr>
              <w:t>Suma</w:t>
            </w:r>
          </w:p>
        </w:tc>
        <w:tc>
          <w:tcPr>
            <w:tcW w:w="1861" w:type="dxa"/>
            <w:tcBorders>
              <w:top w:val="nil"/>
              <w:left w:val="nil"/>
              <w:bottom w:val="single" w:sz="4" w:space="0" w:color="auto"/>
              <w:right w:val="single" w:sz="4" w:space="0" w:color="auto"/>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18"/>
                <w:szCs w:val="18"/>
                <w:lang w:val="es-ES" w:eastAsia="es-MX"/>
              </w:rPr>
            </w:pPr>
            <w:r w:rsidRPr="0091246D">
              <w:rPr>
                <w:rFonts w:ascii="Trebuchet MS" w:eastAsia="Times New Roman" w:hAnsi="Trebuchet MS" w:cs="Times New Roman"/>
                <w:b/>
                <w:color w:val="000000"/>
                <w:sz w:val="18"/>
                <w:szCs w:val="18"/>
                <w:lang w:val="es-ES" w:eastAsia="es-MX"/>
              </w:rPr>
              <w:t xml:space="preserve">7,809,196 </w:t>
            </w:r>
          </w:p>
        </w:tc>
      </w:tr>
    </w:tbl>
    <w:p w:rsidR="0091246D" w:rsidRPr="0091246D" w:rsidRDefault="0091246D" w:rsidP="0091246D">
      <w:pPr>
        <w:spacing w:after="0" w:line="240" w:lineRule="auto"/>
        <w:rPr>
          <w:rFonts w:ascii="Times New Roman" w:eastAsia="Times New Roman" w:hAnsi="Times New Roman" w:cs="Times New Roman"/>
          <w:sz w:val="20"/>
          <w:szCs w:val="20"/>
          <w:lang w:val="es-ES" w:eastAsia="es-ES"/>
        </w:rPr>
      </w:pPr>
    </w:p>
    <w:p w:rsidR="0091246D" w:rsidRPr="0091246D" w:rsidRDefault="0091246D" w:rsidP="0091246D">
      <w:pPr>
        <w:spacing w:after="0"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i/>
          <w:sz w:val="24"/>
          <w:szCs w:val="24"/>
          <w:lang w:val="es-ES" w:eastAsia="es-ES"/>
        </w:rPr>
      </w:pPr>
      <w:r w:rsidRPr="0091246D">
        <w:rPr>
          <w:rFonts w:ascii="Trebuchet MS" w:eastAsia="Times New Roman" w:hAnsi="Trebuchet MS" w:cs="Times New Roman"/>
          <w:sz w:val="24"/>
          <w:szCs w:val="24"/>
          <w:lang w:val="es-ES" w:eastAsia="es-ES"/>
        </w:rPr>
        <w:t>PROVEEDORES POR PAGAR A CORTO PLAZO AL CIERRE DEL SEGUNDO TRIMESTRE 2020:</w:t>
      </w:r>
      <w:r w:rsidRPr="0091246D">
        <w:rPr>
          <w:rFonts w:ascii="Trebuchet MS" w:eastAsia="Times New Roman" w:hAnsi="Trebuchet MS" w:cs="Times New Roman"/>
          <w:i/>
          <w:sz w:val="24"/>
          <w:szCs w:val="24"/>
          <w:lang w:val="es-ES" w:eastAsia="es-ES"/>
        </w:rPr>
        <w:t xml:space="preserve">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Por un importe total de $116,070 (ciento dieciséis mil setenta pesos), se encuentran clasificados de la siguiente manera: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ab/>
      </w:r>
      <w:r>
        <w:rPr>
          <w:rFonts w:ascii="Times New Roman" w:eastAsia="Times New Roman" w:hAnsi="Times New Roman" w:cs="Times New Roman"/>
          <w:noProof/>
          <w:sz w:val="20"/>
          <w:szCs w:val="20"/>
          <w:lang w:eastAsia="es-MX"/>
        </w:rPr>
        <w:drawing>
          <wp:inline distT="0" distB="0" distL="0" distR="0">
            <wp:extent cx="4168140" cy="179705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140" cy="1797050"/>
                    </a:xfrm>
                    <a:prstGeom prst="rect">
                      <a:avLst/>
                    </a:prstGeom>
                    <a:noFill/>
                    <a:ln>
                      <a:noFill/>
                    </a:ln>
                  </pic:spPr>
                </pic:pic>
              </a:graphicData>
            </a:graphic>
          </wp:inline>
        </w:drawing>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i/>
          <w:sz w:val="24"/>
          <w:szCs w:val="24"/>
          <w:lang w:val="es-ES" w:eastAsia="es-ES"/>
        </w:rPr>
      </w:pPr>
      <w:r w:rsidRPr="0091246D">
        <w:rPr>
          <w:rFonts w:ascii="Trebuchet MS" w:eastAsia="Times New Roman" w:hAnsi="Trebuchet MS" w:cs="Times New Roman"/>
          <w:sz w:val="24"/>
          <w:szCs w:val="24"/>
          <w:lang w:val="es-ES" w:eastAsia="es-ES"/>
        </w:rPr>
        <w:t>TRANSFERENCIAS OTORGADAS POR PAGAR A CORTO PLAZO:</w:t>
      </w:r>
      <w:r w:rsidRPr="0091246D">
        <w:rPr>
          <w:rFonts w:ascii="Trebuchet MS" w:eastAsia="Times New Roman" w:hAnsi="Trebuchet MS" w:cs="Times New Roman"/>
          <w:i/>
          <w:sz w:val="24"/>
          <w:szCs w:val="24"/>
          <w:lang w:val="es-ES" w:eastAsia="es-ES"/>
        </w:rPr>
        <w:t xml:space="preserve">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Representa los adeudos que el H. Tribunal Superior de Justicia del Poder Judicial del Estado de Morelos mantiene por un importe de $772,834 (setecientos setenta y dos mil ochocientos treinta y cuatro pesos), que se encuentra integrados de la siguiente manera:</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91246D" w:rsidRPr="0091246D" w:rsidTr="006E3A97">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IMPORTE</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Jubilaciones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625,021 </w:t>
            </w:r>
          </w:p>
        </w:tc>
      </w:tr>
      <w:tr w:rsidR="0091246D" w:rsidRPr="0091246D" w:rsidTr="006E3A9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Gratificación Anual Jubilados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147,813 </w:t>
            </w:r>
          </w:p>
        </w:tc>
      </w:tr>
      <w:tr w:rsidR="0091246D" w:rsidRPr="0091246D" w:rsidTr="006E3A97">
        <w:trPr>
          <w:trHeight w:val="255"/>
        </w:trPr>
        <w:tc>
          <w:tcPr>
            <w:tcW w:w="276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nil"/>
              <w:right w:val="nil"/>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b/>
                <w:color w:val="000000"/>
                <w:sz w:val="20"/>
                <w:szCs w:val="20"/>
                <w:lang w:val="es-ES" w:eastAsia="es-MX"/>
              </w:rPr>
              <w:t xml:space="preserve">772,834 </w:t>
            </w:r>
          </w:p>
        </w:tc>
      </w:tr>
      <w:tr w:rsidR="0091246D" w:rsidRPr="0091246D" w:rsidTr="006E3A97">
        <w:trPr>
          <w:trHeight w:val="255"/>
        </w:trPr>
        <w:tc>
          <w:tcPr>
            <w:tcW w:w="2760" w:type="dxa"/>
            <w:tcBorders>
              <w:top w:val="nil"/>
              <w:left w:val="nil"/>
              <w:bottom w:val="nil"/>
              <w:right w:val="nil"/>
            </w:tcBorders>
            <w:shd w:val="clear" w:color="auto" w:fill="auto"/>
            <w:noWrap/>
            <w:vAlign w:val="center"/>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p>
        </w:tc>
        <w:tc>
          <w:tcPr>
            <w:tcW w:w="1840" w:type="dxa"/>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RETENCIONES Y CONTRIBUCIONES POR PAGAR: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Este rubro comprende las distintas retenciones a enterar por concepto de impuestos a las diversas entidades de recaudación, así como retenciones de nómina que se realizan y deben enterar a diversos proveedores y que al cierre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roofErr w:type="gramStart"/>
      <w:r w:rsidRPr="0091246D">
        <w:rPr>
          <w:rFonts w:ascii="Trebuchet MS" w:eastAsia="Times New Roman" w:hAnsi="Trebuchet MS" w:cs="Times New Roman"/>
          <w:sz w:val="24"/>
          <w:szCs w:val="24"/>
          <w:lang w:val="es-ES" w:eastAsia="es-ES"/>
        </w:rPr>
        <w:t>del</w:t>
      </w:r>
      <w:proofErr w:type="gramEnd"/>
      <w:r w:rsidRPr="0091246D">
        <w:rPr>
          <w:rFonts w:ascii="Trebuchet MS" w:eastAsia="Times New Roman" w:hAnsi="Trebuchet MS" w:cs="Times New Roman"/>
          <w:sz w:val="24"/>
          <w:szCs w:val="24"/>
          <w:lang w:val="es-ES" w:eastAsia="es-ES"/>
        </w:rPr>
        <w:t xml:space="preserve"> Segundo Trimestre 2020 tiene un saldo de $14’020,368 (Catorce millones veinte mil trescientos sesenta y ocho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6800" w:type="dxa"/>
        <w:tblInd w:w="1346" w:type="dxa"/>
        <w:tblCellMar>
          <w:left w:w="70" w:type="dxa"/>
          <w:right w:w="70" w:type="dxa"/>
        </w:tblCellMar>
        <w:tblLook w:val="04A0" w:firstRow="1" w:lastRow="0" w:firstColumn="1" w:lastColumn="0" w:noHBand="0" w:noVBand="1"/>
      </w:tblPr>
      <w:tblGrid>
        <w:gridCol w:w="5500"/>
        <w:gridCol w:w="1300"/>
      </w:tblGrid>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rPr>
                <w:rFonts w:ascii="Trebuchet MS" w:eastAsia="Times New Roman" w:hAnsi="Trebuchet MS" w:cs="Times New Roman"/>
                <w:b/>
                <w:bCs/>
                <w:color w:val="000000"/>
                <w:sz w:val="16"/>
                <w:szCs w:val="16"/>
                <w:lang w:val="es-ES" w:eastAsia="es-MX"/>
              </w:rPr>
            </w:pPr>
            <w:r w:rsidRPr="0091246D">
              <w:rPr>
                <w:rFonts w:ascii="Trebuchet MS" w:eastAsia="Times New Roman" w:hAnsi="Trebuchet MS" w:cs="Times New Roman"/>
                <w:b/>
                <w:bCs/>
                <w:color w:val="000000"/>
                <w:sz w:val="16"/>
                <w:szCs w:val="16"/>
                <w:lang w:val="es-ES" w:eastAsia="es-MX"/>
              </w:rPr>
              <w:t>RETENCIONES Y CONTRIBUCIONES POR PAGAR A CORTO PLAZO</w:t>
            </w:r>
          </w:p>
        </w:tc>
        <w:tc>
          <w:tcPr>
            <w:tcW w:w="1300" w:type="dxa"/>
            <w:tcBorders>
              <w:top w:val="single" w:sz="4" w:space="0" w:color="auto"/>
              <w:left w:val="nil"/>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jc w:val="right"/>
              <w:rPr>
                <w:rFonts w:ascii="Trebuchet MS" w:eastAsia="Times New Roman" w:hAnsi="Trebuchet MS" w:cs="Times New Roman"/>
                <w:b/>
                <w:bCs/>
                <w:color w:val="000000"/>
                <w:sz w:val="16"/>
                <w:szCs w:val="16"/>
                <w:lang w:val="es-ES" w:eastAsia="es-MX"/>
              </w:rPr>
            </w:pPr>
            <w:r w:rsidRPr="0091246D">
              <w:rPr>
                <w:rFonts w:ascii="Trebuchet MS" w:eastAsia="Times New Roman" w:hAnsi="Trebuchet MS" w:cs="Times New Roman"/>
                <w:b/>
                <w:bCs/>
                <w:color w:val="000000"/>
                <w:sz w:val="16"/>
                <w:szCs w:val="16"/>
                <w:lang w:val="es-ES" w:eastAsia="es-MX"/>
              </w:rPr>
              <w:t>IMPORTE</w:t>
            </w:r>
          </w:p>
        </w:tc>
      </w:tr>
      <w:tr w:rsidR="0091246D" w:rsidRPr="0091246D" w:rsidTr="006E3A97">
        <w:trPr>
          <w:trHeight w:val="255"/>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16"/>
                <w:szCs w:val="16"/>
                <w:lang w:val="es-ES" w:eastAsia="es-MX"/>
              </w:rPr>
            </w:pPr>
            <w:r w:rsidRPr="0091246D">
              <w:rPr>
                <w:rFonts w:ascii="Trebuchet MS" w:eastAsia="Times New Roman" w:hAnsi="Trebuchet MS" w:cs="Times New Roman"/>
                <w:b/>
                <w:bCs/>
                <w:i/>
                <w:iCs/>
                <w:color w:val="000000"/>
                <w:sz w:val="16"/>
                <w:szCs w:val="16"/>
                <w:lang w:val="es-ES" w:eastAsia="es-MX"/>
              </w:rPr>
              <w:t>APORTACION PATRONAL</w:t>
            </w:r>
          </w:p>
        </w:tc>
        <w:tc>
          <w:tcPr>
            <w:tcW w:w="13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--Cuotas IMSS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2,008,193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--Instituto de crédito, aportación</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243,263</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--Sindicato de trabajadores del Poder Judicial</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142,906 </w:t>
            </w:r>
          </w:p>
        </w:tc>
      </w:tr>
      <w:tr w:rsidR="0091246D" w:rsidRPr="0091246D" w:rsidTr="006E3A97">
        <w:trPr>
          <w:trHeight w:val="255"/>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16"/>
                <w:szCs w:val="16"/>
                <w:lang w:val="es-ES" w:eastAsia="es-MX"/>
              </w:rPr>
            </w:pPr>
            <w:r w:rsidRPr="0091246D">
              <w:rPr>
                <w:rFonts w:ascii="Trebuchet MS" w:eastAsia="Times New Roman" w:hAnsi="Trebuchet MS" w:cs="Times New Roman"/>
                <w:b/>
                <w:bCs/>
                <w:i/>
                <w:iCs/>
                <w:color w:val="000000"/>
                <w:sz w:val="16"/>
                <w:szCs w:val="16"/>
                <w:lang w:val="es-ES" w:eastAsia="es-MX"/>
              </w:rPr>
              <w:t>RETENCIONES TRABAJADOR Y TERCEROS</w:t>
            </w:r>
          </w:p>
        </w:tc>
        <w:tc>
          <w:tcPr>
            <w:tcW w:w="13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--I.S.R Sueldos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2’687,291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--I.S.R. retenciones honorarios</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0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--I.S.R. retenciones arrendamiento</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3,300</w:t>
            </w:r>
          </w:p>
        </w:tc>
      </w:tr>
      <w:tr w:rsidR="0091246D" w:rsidRPr="0091246D" w:rsidTr="006E3A97">
        <w:trPr>
          <w:trHeight w:val="255"/>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b/>
                <w:bCs/>
                <w:i/>
                <w:iCs/>
                <w:color w:val="000000"/>
                <w:sz w:val="16"/>
                <w:szCs w:val="16"/>
                <w:lang w:val="es-ES" w:eastAsia="es-MX"/>
              </w:rPr>
              <w:t>RETENCIONES SINDICATO</w:t>
            </w:r>
          </w:p>
        </w:tc>
        <w:tc>
          <w:tcPr>
            <w:tcW w:w="13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16"/>
                <w:szCs w:val="16"/>
                <w:lang w:val="es-ES" w:eastAsia="es-MX"/>
              </w:rPr>
            </w:pPr>
            <w:r w:rsidRPr="0091246D">
              <w:rPr>
                <w:rFonts w:ascii="Trebuchet MS" w:eastAsia="Times New Roman" w:hAnsi="Trebuchet MS" w:cs="Times New Roman"/>
                <w:color w:val="000000"/>
                <w:sz w:val="16"/>
                <w:szCs w:val="16"/>
                <w:lang w:val="es-ES" w:eastAsia="es-MX"/>
              </w:rPr>
              <w:t>--Personal Jubilado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644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--Personal vigente, cuotas</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19,680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--Fondo para gastos Funerales</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392</w:t>
            </w:r>
          </w:p>
        </w:tc>
      </w:tr>
      <w:tr w:rsidR="0091246D" w:rsidRPr="0091246D" w:rsidTr="006E3A97">
        <w:trPr>
          <w:trHeight w:val="255"/>
        </w:trPr>
        <w:tc>
          <w:tcPr>
            <w:tcW w:w="5500" w:type="dxa"/>
            <w:tcBorders>
              <w:top w:val="nil"/>
              <w:left w:val="nil"/>
              <w:bottom w:val="single" w:sz="4" w:space="0" w:color="auto"/>
              <w:right w:val="nil"/>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b/>
                <w:bCs/>
                <w:i/>
                <w:iCs/>
                <w:color w:val="000000"/>
                <w:sz w:val="16"/>
                <w:szCs w:val="16"/>
                <w:lang w:val="es-ES" w:eastAsia="es-MX"/>
              </w:rPr>
              <w:t>RETENCIONES DIVERSAS</w:t>
            </w:r>
          </w:p>
        </w:tc>
        <w:tc>
          <w:tcPr>
            <w:tcW w:w="1300" w:type="dxa"/>
            <w:tcBorders>
              <w:top w:val="nil"/>
              <w:left w:val="nil"/>
              <w:bottom w:val="single" w:sz="4" w:space="0" w:color="auto"/>
              <w:right w:val="nil"/>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--Seguro Individual </w:t>
            </w:r>
            <w:proofErr w:type="spellStart"/>
            <w:r w:rsidRPr="0091246D">
              <w:rPr>
                <w:rFonts w:ascii="Trebuchet MS" w:eastAsia="Times New Roman" w:hAnsi="Trebuchet MS" w:cs="Times New Roman"/>
                <w:color w:val="000000"/>
                <w:sz w:val="16"/>
                <w:szCs w:val="16"/>
                <w:lang w:val="es-ES" w:eastAsia="es-MX"/>
              </w:rPr>
              <w:t>metlife</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249,891</w:t>
            </w: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16"/>
                <w:szCs w:val="16"/>
                <w:lang w:val="es-ES" w:eastAsia="es-MX"/>
              </w:rPr>
            </w:pPr>
            <w:r w:rsidRPr="0091246D">
              <w:rPr>
                <w:rFonts w:ascii="Trebuchet MS" w:eastAsia="Times New Roman" w:hAnsi="Trebuchet MS" w:cs="Times New Roman"/>
                <w:color w:val="000000"/>
                <w:sz w:val="16"/>
                <w:szCs w:val="16"/>
                <w:lang w:val="es-ES" w:eastAsia="es-MX"/>
              </w:rPr>
              <w:t>--</w:t>
            </w:r>
            <w:proofErr w:type="spellStart"/>
            <w:r w:rsidRPr="0091246D">
              <w:rPr>
                <w:rFonts w:ascii="Trebuchet MS" w:eastAsia="Times New Roman" w:hAnsi="Trebuchet MS" w:cs="Times New Roman"/>
                <w:color w:val="000000"/>
                <w:sz w:val="16"/>
                <w:szCs w:val="16"/>
                <w:lang w:val="es-ES" w:eastAsia="es-MX"/>
              </w:rPr>
              <w:t>Intermercado</w:t>
            </w:r>
            <w:proofErr w:type="spellEnd"/>
            <w:r w:rsidRPr="0091246D">
              <w:rPr>
                <w:rFonts w:ascii="Trebuchet MS" w:eastAsia="Times New Roman" w:hAnsi="Trebuchet MS" w:cs="Times New Roman"/>
                <w:color w:val="000000"/>
                <w:sz w:val="16"/>
                <w:szCs w:val="16"/>
                <w:lang w:val="es-ES" w:eastAsia="es-MX"/>
              </w:rPr>
              <w:t xml:space="preserve"> S.A.</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4,773</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--Pensión alimenticia</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13,922</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--Impulsora </w:t>
            </w:r>
            <w:proofErr w:type="spellStart"/>
            <w:r w:rsidRPr="0091246D">
              <w:rPr>
                <w:rFonts w:ascii="Trebuchet MS" w:eastAsia="Times New Roman" w:hAnsi="Trebuchet MS" w:cs="Times New Roman"/>
                <w:color w:val="000000"/>
                <w:sz w:val="16"/>
                <w:szCs w:val="16"/>
                <w:lang w:val="es-ES" w:eastAsia="es-MX"/>
              </w:rPr>
              <w:t>Promobien</w:t>
            </w:r>
            <w:proofErr w:type="spellEnd"/>
            <w:r w:rsidRPr="0091246D">
              <w:rPr>
                <w:rFonts w:ascii="Trebuchet MS" w:eastAsia="Times New Roman" w:hAnsi="Trebuchet MS" w:cs="Times New Roman"/>
                <w:color w:val="000000"/>
                <w:sz w:val="16"/>
                <w:szCs w:val="16"/>
                <w:lang w:val="es-ES" w:eastAsia="es-MX"/>
              </w:rPr>
              <w:t xml:space="preserve"> S.A. de C.V.</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330,008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w:t>
            </w:r>
            <w:proofErr w:type="spellStart"/>
            <w:r w:rsidRPr="0091246D">
              <w:rPr>
                <w:rFonts w:ascii="Trebuchet MS" w:eastAsia="Times New Roman" w:hAnsi="Trebuchet MS" w:cs="Times New Roman"/>
                <w:color w:val="000000"/>
                <w:sz w:val="16"/>
                <w:szCs w:val="16"/>
                <w:lang w:val="es-ES" w:eastAsia="es-MX"/>
              </w:rPr>
              <w:t>Qualitas</w:t>
            </w:r>
            <w:proofErr w:type="spellEnd"/>
            <w:r w:rsidRPr="0091246D">
              <w:rPr>
                <w:rFonts w:ascii="Trebuchet MS" w:eastAsia="Times New Roman" w:hAnsi="Trebuchet MS" w:cs="Times New Roman"/>
                <w:color w:val="000000"/>
                <w:sz w:val="16"/>
                <w:szCs w:val="16"/>
                <w:lang w:val="es-ES" w:eastAsia="es-MX"/>
              </w:rPr>
              <w:t xml:space="preserve"> compañía de seguros S.A de C.V.</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11,926</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--Asociación de jubilados y pensionados</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8,700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--Instituto del Fondo Nacional para el Consumo(INFONACOT)</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899</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--Hispano mexicana</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5,239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w:t>
            </w:r>
            <w:proofErr w:type="spellStart"/>
            <w:r w:rsidRPr="0091246D">
              <w:rPr>
                <w:rFonts w:ascii="Trebuchet MS" w:eastAsia="Times New Roman" w:hAnsi="Trebuchet MS" w:cs="Times New Roman"/>
                <w:color w:val="000000"/>
                <w:sz w:val="16"/>
                <w:szCs w:val="16"/>
                <w:lang w:val="es-ES" w:eastAsia="es-MX"/>
              </w:rPr>
              <w:t>Sefise</w:t>
            </w:r>
            <w:proofErr w:type="spellEnd"/>
            <w:r w:rsidRPr="0091246D">
              <w:rPr>
                <w:rFonts w:ascii="Trebuchet MS" w:eastAsia="Times New Roman" w:hAnsi="Trebuchet MS" w:cs="Times New Roman"/>
                <w:color w:val="000000"/>
                <w:sz w:val="16"/>
                <w:szCs w:val="16"/>
                <w:lang w:val="es-ES" w:eastAsia="es-MX"/>
              </w:rPr>
              <w:t xml:space="preserve"> S.A. de C.V.</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5,341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--Cristina Prado Hernández (Óptica Bellavista)</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12,101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w:t>
            </w:r>
            <w:proofErr w:type="spellStart"/>
            <w:r w:rsidRPr="0091246D">
              <w:rPr>
                <w:rFonts w:ascii="Trebuchet MS" w:eastAsia="Times New Roman" w:hAnsi="Trebuchet MS" w:cs="Times New Roman"/>
                <w:color w:val="000000"/>
                <w:sz w:val="16"/>
                <w:szCs w:val="16"/>
                <w:lang w:val="es-ES" w:eastAsia="es-MX"/>
              </w:rPr>
              <w:t>Publiseg</w:t>
            </w:r>
            <w:proofErr w:type="spellEnd"/>
            <w:r w:rsidRPr="0091246D">
              <w:rPr>
                <w:rFonts w:ascii="Trebuchet MS" w:eastAsia="Times New Roman" w:hAnsi="Trebuchet MS" w:cs="Times New Roman"/>
                <w:color w:val="000000"/>
                <w:sz w:val="16"/>
                <w:szCs w:val="16"/>
                <w:lang w:val="es-ES" w:eastAsia="es-MX"/>
              </w:rPr>
              <w:t xml:space="preserve"> </w:t>
            </w:r>
            <w:proofErr w:type="spellStart"/>
            <w:r w:rsidRPr="0091246D">
              <w:rPr>
                <w:rFonts w:ascii="Trebuchet MS" w:eastAsia="Times New Roman" w:hAnsi="Trebuchet MS" w:cs="Times New Roman"/>
                <w:color w:val="000000"/>
                <w:sz w:val="16"/>
                <w:szCs w:val="16"/>
                <w:lang w:val="es-ES" w:eastAsia="es-MX"/>
              </w:rPr>
              <w:t>Sapi</w:t>
            </w:r>
            <w:proofErr w:type="spellEnd"/>
            <w:r w:rsidRPr="0091246D">
              <w:rPr>
                <w:rFonts w:ascii="Trebuchet MS" w:eastAsia="Times New Roman" w:hAnsi="Trebuchet MS" w:cs="Times New Roman"/>
                <w:color w:val="000000"/>
                <w:sz w:val="16"/>
                <w:szCs w:val="16"/>
                <w:lang w:val="es-ES" w:eastAsia="es-MX"/>
              </w:rPr>
              <w:t xml:space="preserve"> de C.V. </w:t>
            </w:r>
            <w:proofErr w:type="spellStart"/>
            <w:r w:rsidRPr="0091246D">
              <w:rPr>
                <w:rFonts w:ascii="Trebuchet MS" w:eastAsia="Times New Roman" w:hAnsi="Trebuchet MS" w:cs="Times New Roman"/>
                <w:color w:val="000000"/>
                <w:sz w:val="16"/>
                <w:szCs w:val="16"/>
                <w:lang w:val="es-ES" w:eastAsia="es-MX"/>
              </w:rPr>
              <w:t>Sofom</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78,929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--Seguro Individual Mapfre, S.A de C.V.</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128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--Descuento Por Detrimento</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1,770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--PROY. COINCIDIR SA DE CV SFP</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20,866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w:t>
            </w:r>
            <w:proofErr w:type="spellStart"/>
            <w:r w:rsidRPr="0091246D">
              <w:rPr>
                <w:rFonts w:ascii="Trebuchet MS" w:eastAsia="Times New Roman" w:hAnsi="Trebuchet MS" w:cs="Times New Roman"/>
                <w:color w:val="000000"/>
                <w:sz w:val="16"/>
                <w:szCs w:val="16"/>
                <w:lang w:val="es-ES" w:eastAsia="es-MX"/>
              </w:rPr>
              <w:t>Fincomun</w:t>
            </w:r>
            <w:proofErr w:type="spellEnd"/>
            <w:r w:rsidRPr="0091246D">
              <w:rPr>
                <w:rFonts w:ascii="Trebuchet MS" w:eastAsia="Times New Roman" w:hAnsi="Trebuchet MS" w:cs="Times New Roman"/>
                <w:color w:val="000000"/>
                <w:sz w:val="16"/>
                <w:szCs w:val="16"/>
                <w:lang w:val="es-ES" w:eastAsia="es-MX"/>
              </w:rPr>
              <w:t>, Servicios Financieros Comunitarios S.A</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38,968</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--Gastos </w:t>
            </w:r>
            <w:proofErr w:type="spellStart"/>
            <w:r w:rsidRPr="0091246D">
              <w:rPr>
                <w:rFonts w:ascii="Trebuchet MS" w:eastAsia="Times New Roman" w:hAnsi="Trebuchet MS" w:cs="Times New Roman"/>
                <w:color w:val="000000"/>
                <w:sz w:val="16"/>
                <w:szCs w:val="16"/>
                <w:lang w:val="es-ES" w:eastAsia="es-MX"/>
              </w:rPr>
              <w:t>Medicos</w:t>
            </w:r>
            <w:proofErr w:type="spellEnd"/>
            <w:r w:rsidRPr="0091246D">
              <w:rPr>
                <w:rFonts w:ascii="Trebuchet MS" w:eastAsia="Times New Roman" w:hAnsi="Trebuchet MS" w:cs="Times New Roman"/>
                <w:color w:val="000000"/>
                <w:sz w:val="16"/>
                <w:szCs w:val="16"/>
                <w:lang w:val="es-ES" w:eastAsia="es-MX"/>
              </w:rPr>
              <w:t xml:space="preserve"> </w:t>
            </w:r>
            <w:proofErr w:type="spellStart"/>
            <w:r w:rsidRPr="0091246D">
              <w:rPr>
                <w:rFonts w:ascii="Trebuchet MS" w:eastAsia="Times New Roman" w:hAnsi="Trebuchet MS" w:cs="Times New Roman"/>
                <w:color w:val="000000"/>
                <w:sz w:val="16"/>
                <w:szCs w:val="16"/>
                <w:lang w:val="es-ES" w:eastAsia="es-MX"/>
              </w:rPr>
              <w:t>Metlife</w:t>
            </w:r>
            <w:proofErr w:type="spellEnd"/>
            <w:r w:rsidRPr="0091246D">
              <w:rPr>
                <w:rFonts w:ascii="Trebuchet MS" w:eastAsia="Times New Roman" w:hAnsi="Trebuchet MS" w:cs="Times New Roman"/>
                <w:color w:val="000000"/>
                <w:sz w:val="16"/>
                <w:szCs w:val="16"/>
                <w:lang w:val="es-ES" w:eastAsia="es-MX"/>
              </w:rPr>
              <w:t xml:space="preserve"> S.A</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69,994</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--Leslie Flor de Liz (Asesores </w:t>
            </w:r>
            <w:proofErr w:type="spellStart"/>
            <w:r w:rsidRPr="0091246D">
              <w:rPr>
                <w:rFonts w:ascii="Trebuchet MS" w:eastAsia="Times New Roman" w:hAnsi="Trebuchet MS" w:cs="Times New Roman"/>
                <w:color w:val="000000"/>
                <w:sz w:val="16"/>
                <w:szCs w:val="16"/>
                <w:lang w:val="es-ES" w:eastAsia="es-MX"/>
              </w:rPr>
              <w:t>Opticos</w:t>
            </w:r>
            <w:proofErr w:type="spellEnd"/>
            <w:r w:rsidRPr="0091246D">
              <w:rPr>
                <w:rFonts w:ascii="Trebuchet MS" w:eastAsia="Times New Roman" w:hAnsi="Trebuchet MS" w:cs="Times New Roman"/>
                <w:color w:val="000000"/>
                <w:sz w:val="16"/>
                <w:szCs w:val="16"/>
                <w:lang w:val="es-ES" w:eastAsia="es-MX"/>
              </w:rPr>
              <w:t>)</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700</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--Rosalba </w:t>
            </w:r>
            <w:proofErr w:type="spellStart"/>
            <w:r w:rsidRPr="0091246D">
              <w:rPr>
                <w:rFonts w:ascii="Trebuchet MS" w:eastAsia="Times New Roman" w:hAnsi="Trebuchet MS" w:cs="Times New Roman"/>
                <w:color w:val="000000"/>
                <w:sz w:val="16"/>
                <w:szCs w:val="16"/>
                <w:lang w:val="es-ES" w:eastAsia="es-MX"/>
              </w:rPr>
              <w:t>Corazon</w:t>
            </w:r>
            <w:proofErr w:type="spellEnd"/>
            <w:r w:rsidRPr="0091246D">
              <w:rPr>
                <w:rFonts w:ascii="Trebuchet MS" w:eastAsia="Times New Roman" w:hAnsi="Trebuchet MS" w:cs="Times New Roman"/>
                <w:color w:val="000000"/>
                <w:sz w:val="16"/>
                <w:szCs w:val="16"/>
                <w:lang w:val="es-ES" w:eastAsia="es-MX"/>
              </w:rPr>
              <w:t xml:space="preserve"> Herrera (</w:t>
            </w:r>
            <w:proofErr w:type="spellStart"/>
            <w:r w:rsidRPr="0091246D">
              <w:rPr>
                <w:rFonts w:ascii="Trebuchet MS" w:eastAsia="Times New Roman" w:hAnsi="Trebuchet MS" w:cs="Times New Roman"/>
                <w:color w:val="000000"/>
                <w:sz w:val="16"/>
                <w:szCs w:val="16"/>
                <w:lang w:val="es-ES" w:eastAsia="es-MX"/>
              </w:rPr>
              <w:t>climed</w:t>
            </w:r>
            <w:proofErr w:type="spellEnd"/>
            <w:r w:rsidRPr="0091246D">
              <w:rPr>
                <w:rFonts w:ascii="Trebuchet MS" w:eastAsia="Times New Roman" w:hAnsi="Trebuchet MS" w:cs="Times New Roman"/>
                <w:color w:val="000000"/>
                <w:sz w:val="16"/>
                <w:szCs w:val="16"/>
                <w:lang w:val="es-ES" w:eastAsia="es-MX"/>
              </w:rPr>
              <w:t>)</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10,764</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--Fondo Auxiliar</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13,106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--Aportación de Empleados</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1,150</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--Descuento por préstamo</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42,592</w:t>
            </w:r>
          </w:p>
        </w:tc>
      </w:tr>
      <w:tr w:rsidR="0091246D" w:rsidRPr="0091246D" w:rsidTr="006E3A97">
        <w:trPr>
          <w:trHeight w:val="255"/>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20"/>
                <w:szCs w:val="20"/>
                <w:lang w:val="es-ES" w:eastAsia="es-MX"/>
              </w:rPr>
            </w:pPr>
          </w:p>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b/>
                <w:bCs/>
                <w:i/>
                <w:iCs/>
                <w:color w:val="000000"/>
                <w:sz w:val="20"/>
                <w:szCs w:val="20"/>
                <w:lang w:val="es-ES" w:eastAsia="es-MX"/>
              </w:rPr>
              <w:t>Instituto de Crédito para los Trabajador</w:t>
            </w:r>
          </w:p>
        </w:tc>
        <w:tc>
          <w:tcPr>
            <w:tcW w:w="13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--Cuotas Retenidas al Personal</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172,306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--Recuperación de Prestamos</w:t>
            </w:r>
          </w:p>
        </w:tc>
        <w:tc>
          <w:tcPr>
            <w:tcW w:w="1300" w:type="dxa"/>
            <w:tcBorders>
              <w:top w:val="nil"/>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 xml:space="preserve">7’434,230 </w:t>
            </w:r>
          </w:p>
        </w:tc>
      </w:tr>
      <w:tr w:rsidR="0091246D" w:rsidRPr="0091246D" w:rsidTr="006E3A9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lastRenderedPageBreak/>
              <w:t>--Instituto de crédito</w:t>
            </w:r>
          </w:p>
        </w:tc>
        <w:tc>
          <w:tcPr>
            <w:tcW w:w="130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2,979</w:t>
            </w:r>
          </w:p>
        </w:tc>
      </w:tr>
      <w:tr w:rsidR="0091246D" w:rsidRPr="0091246D" w:rsidTr="006E3A97">
        <w:trPr>
          <w:trHeight w:val="270"/>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20"/>
                <w:szCs w:val="20"/>
                <w:lang w:val="es-ES" w:eastAsia="es-MX"/>
              </w:rPr>
            </w:pPr>
            <w:r w:rsidRPr="0091246D">
              <w:rPr>
                <w:rFonts w:ascii="Trebuchet MS" w:eastAsia="Times New Roman" w:hAnsi="Trebuchet MS" w:cs="Times New Roman"/>
                <w:b/>
                <w:bCs/>
                <w:i/>
                <w:iCs/>
                <w:color w:val="000000"/>
                <w:sz w:val="20"/>
                <w:szCs w:val="20"/>
                <w:lang w:val="es-ES" w:eastAsia="es-MX"/>
              </w:rPr>
              <w:t>Fondo Auxiliar TELEFONIA</w:t>
            </w:r>
          </w:p>
        </w:tc>
        <w:tc>
          <w:tcPr>
            <w:tcW w:w="1300" w:type="dxa"/>
            <w:tcBorders>
              <w:top w:val="nil"/>
              <w:left w:val="nil"/>
              <w:bottom w:val="nil"/>
              <w:right w:val="nil"/>
            </w:tcBorders>
            <w:shd w:val="clear" w:color="auto" w:fill="auto"/>
            <w:noWrap/>
            <w:vAlign w:val="bottom"/>
            <w:hideMark/>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7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--Fondo Auxiliar TELEFONIA</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8,845</w:t>
            </w:r>
          </w:p>
        </w:tc>
      </w:tr>
      <w:tr w:rsidR="0091246D" w:rsidRPr="0091246D" w:rsidTr="006E3A97">
        <w:trPr>
          <w:trHeight w:val="255"/>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p>
        </w:tc>
        <w:tc>
          <w:tcPr>
            <w:tcW w:w="1300" w:type="dxa"/>
            <w:tcBorders>
              <w:top w:val="nil"/>
              <w:left w:val="nil"/>
              <w:bottom w:val="nil"/>
              <w:right w:val="nil"/>
            </w:tcBorders>
            <w:shd w:val="clear" w:color="auto" w:fill="auto"/>
            <w:noWrap/>
            <w:vAlign w:val="bottom"/>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70"/>
        </w:trPr>
        <w:tc>
          <w:tcPr>
            <w:tcW w:w="5500" w:type="dxa"/>
            <w:tcBorders>
              <w:top w:val="nil"/>
              <w:left w:val="nil"/>
              <w:bottom w:val="single" w:sz="4" w:space="0" w:color="auto"/>
              <w:right w:val="nil"/>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b/>
                <w:bCs/>
                <w:i/>
                <w:iCs/>
                <w:color w:val="000000"/>
                <w:sz w:val="20"/>
                <w:szCs w:val="20"/>
                <w:lang w:val="es-ES" w:eastAsia="es-MX"/>
              </w:rPr>
              <w:t>Impuesto sobre Nomina</w:t>
            </w:r>
          </w:p>
        </w:tc>
        <w:tc>
          <w:tcPr>
            <w:tcW w:w="1300" w:type="dxa"/>
            <w:tcBorders>
              <w:top w:val="nil"/>
              <w:left w:val="nil"/>
              <w:bottom w:val="single" w:sz="4" w:space="0" w:color="auto"/>
              <w:right w:val="nil"/>
            </w:tcBorders>
            <w:shd w:val="clear" w:color="auto" w:fill="auto"/>
            <w:noWrap/>
            <w:vAlign w:val="bottom"/>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p>
        </w:tc>
      </w:tr>
      <w:tr w:rsidR="0091246D" w:rsidRPr="0091246D" w:rsidTr="006E3A9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--Impuesto Sobre Nomina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46D" w:rsidRPr="0091246D" w:rsidRDefault="0091246D" w:rsidP="0091246D">
            <w:pPr>
              <w:spacing w:after="0" w:line="240" w:lineRule="auto"/>
              <w:jc w:val="right"/>
              <w:rPr>
                <w:rFonts w:ascii="Trebuchet MS" w:eastAsia="Times New Roman" w:hAnsi="Trebuchet MS" w:cs="Times New Roman"/>
                <w:color w:val="000000"/>
                <w:sz w:val="16"/>
                <w:szCs w:val="16"/>
                <w:lang w:val="es-ES" w:eastAsia="es-MX"/>
              </w:rPr>
            </w:pPr>
            <w:r w:rsidRPr="0091246D">
              <w:rPr>
                <w:rFonts w:ascii="Trebuchet MS" w:eastAsia="Times New Roman" w:hAnsi="Trebuchet MS" w:cs="Times New Roman"/>
                <w:color w:val="000000"/>
                <w:sz w:val="16"/>
                <w:szCs w:val="16"/>
                <w:lang w:val="es-ES" w:eastAsia="es-MX"/>
              </w:rPr>
              <w:t>374,572</w:t>
            </w:r>
          </w:p>
        </w:tc>
      </w:tr>
      <w:tr w:rsidR="0091246D" w:rsidRPr="0091246D" w:rsidTr="006E3A97">
        <w:trPr>
          <w:trHeight w:val="270"/>
        </w:trPr>
        <w:tc>
          <w:tcPr>
            <w:tcW w:w="5500" w:type="dxa"/>
            <w:tcBorders>
              <w:top w:val="single" w:sz="4" w:space="0" w:color="auto"/>
              <w:left w:val="nil"/>
              <w:bottom w:val="nil"/>
              <w:right w:val="nil"/>
            </w:tcBorders>
            <w:shd w:val="clear" w:color="auto" w:fill="auto"/>
            <w:noWrap/>
            <w:vAlign w:val="center"/>
            <w:hideMark/>
          </w:tcPr>
          <w:p w:rsidR="0091246D" w:rsidRPr="0091246D" w:rsidRDefault="0091246D" w:rsidP="0091246D">
            <w:pPr>
              <w:spacing w:after="0" w:line="240" w:lineRule="auto"/>
              <w:rPr>
                <w:rFonts w:ascii="Trebuchet MS" w:eastAsia="Times New Roman" w:hAnsi="Trebuchet MS" w:cs="Times New Roman"/>
                <w:b/>
                <w:bCs/>
                <w:i/>
                <w:iCs/>
                <w:color w:val="000000"/>
                <w:sz w:val="20"/>
                <w:szCs w:val="20"/>
                <w:lang w:val="es-ES" w:eastAsia="es-MX"/>
              </w:rPr>
            </w:pPr>
          </w:p>
          <w:p w:rsidR="0091246D" w:rsidRPr="0091246D" w:rsidRDefault="0091246D" w:rsidP="0091246D">
            <w:pPr>
              <w:spacing w:after="0" w:line="240" w:lineRule="auto"/>
              <w:rPr>
                <w:rFonts w:ascii="Trebuchet MS" w:eastAsia="Times New Roman" w:hAnsi="Trebuchet MS" w:cs="Times New Roman"/>
                <w:b/>
                <w:bCs/>
                <w:i/>
                <w:iCs/>
                <w:color w:val="000000"/>
                <w:sz w:val="20"/>
                <w:szCs w:val="20"/>
                <w:lang w:val="es-ES" w:eastAsia="es-MX"/>
              </w:rPr>
            </w:pPr>
          </w:p>
          <w:p w:rsidR="0091246D" w:rsidRPr="0091246D" w:rsidRDefault="0091246D" w:rsidP="0091246D">
            <w:pPr>
              <w:spacing w:after="0" w:line="240" w:lineRule="auto"/>
              <w:rPr>
                <w:rFonts w:ascii="Trebuchet MS" w:eastAsia="Times New Roman" w:hAnsi="Trebuchet MS" w:cs="Times New Roman"/>
                <w:b/>
                <w:bCs/>
                <w:i/>
                <w:iCs/>
                <w:color w:val="000000"/>
                <w:sz w:val="20"/>
                <w:szCs w:val="20"/>
                <w:lang w:val="es-ES" w:eastAsia="es-MX"/>
              </w:rPr>
            </w:pPr>
            <w:r w:rsidRPr="0091246D">
              <w:rPr>
                <w:rFonts w:ascii="Trebuchet MS" w:eastAsia="Times New Roman" w:hAnsi="Trebuchet MS" w:cs="Times New Roman"/>
                <w:b/>
                <w:bCs/>
                <w:i/>
                <w:iCs/>
                <w:color w:val="000000"/>
                <w:sz w:val="20"/>
                <w:szCs w:val="20"/>
                <w:lang w:val="es-ES" w:eastAsia="es-MX"/>
              </w:rPr>
              <w:t xml:space="preserve">SUMA                                                             </w:t>
            </w:r>
          </w:p>
        </w:tc>
        <w:tc>
          <w:tcPr>
            <w:tcW w:w="1300" w:type="dxa"/>
            <w:tcBorders>
              <w:top w:val="single" w:sz="4" w:space="0" w:color="auto"/>
              <w:left w:val="nil"/>
              <w:bottom w:val="nil"/>
              <w:right w:val="nil"/>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color w:val="000000"/>
                <w:sz w:val="20"/>
                <w:szCs w:val="20"/>
                <w:lang w:val="es-ES" w:eastAsia="es-MX"/>
              </w:rPr>
            </w:pPr>
            <w:r w:rsidRPr="0091246D">
              <w:rPr>
                <w:rFonts w:ascii="Trebuchet MS" w:eastAsia="Times New Roman" w:hAnsi="Trebuchet MS" w:cs="Times New Roman"/>
                <w:b/>
                <w:color w:val="000000"/>
                <w:sz w:val="20"/>
                <w:szCs w:val="20"/>
                <w:lang w:val="es-ES" w:eastAsia="es-MX"/>
              </w:rPr>
              <w:t>14,020,368</w:t>
            </w:r>
          </w:p>
        </w:tc>
      </w:tr>
      <w:tr w:rsidR="0091246D" w:rsidRPr="0091246D" w:rsidTr="006E3A97">
        <w:trPr>
          <w:trHeight w:val="255"/>
        </w:trPr>
        <w:tc>
          <w:tcPr>
            <w:tcW w:w="550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rPr>
                <w:rFonts w:ascii="Times New Roman" w:eastAsia="Times New Roman" w:hAnsi="Times New Roman" w:cs="Times New Roman"/>
                <w:color w:val="000000"/>
                <w:sz w:val="16"/>
                <w:szCs w:val="16"/>
                <w:lang w:val="es-ES" w:eastAsia="es-MX"/>
              </w:rPr>
            </w:pPr>
          </w:p>
        </w:tc>
        <w:tc>
          <w:tcPr>
            <w:tcW w:w="1300" w:type="dxa"/>
            <w:tcBorders>
              <w:top w:val="nil"/>
              <w:left w:val="nil"/>
              <w:bottom w:val="nil"/>
              <w:right w:val="nil"/>
            </w:tcBorders>
            <w:shd w:val="clear" w:color="auto" w:fill="auto"/>
            <w:noWrap/>
            <w:vAlign w:val="bottom"/>
            <w:hideMark/>
          </w:tcPr>
          <w:p w:rsidR="0091246D" w:rsidRPr="0091246D" w:rsidRDefault="0091246D" w:rsidP="0091246D">
            <w:pPr>
              <w:spacing w:after="0" w:line="240" w:lineRule="auto"/>
              <w:jc w:val="right"/>
              <w:rPr>
                <w:rFonts w:ascii="Times New Roman" w:eastAsia="Times New Roman" w:hAnsi="Times New Roman" w:cs="Times New Roman"/>
                <w:color w:val="000000"/>
                <w:sz w:val="16"/>
                <w:szCs w:val="16"/>
                <w:lang w:val="es-ES" w:eastAsia="es-MX"/>
              </w:rPr>
            </w:pPr>
          </w:p>
        </w:tc>
      </w:tr>
      <w:tr w:rsidR="0091246D" w:rsidRPr="0091246D" w:rsidTr="006E3A97">
        <w:trPr>
          <w:trHeight w:val="255"/>
        </w:trPr>
        <w:tc>
          <w:tcPr>
            <w:tcW w:w="5500" w:type="dxa"/>
            <w:tcBorders>
              <w:top w:val="nil"/>
              <w:left w:val="nil"/>
              <w:bottom w:val="nil"/>
              <w:right w:val="nil"/>
            </w:tcBorders>
            <w:shd w:val="clear" w:color="auto" w:fill="auto"/>
            <w:noWrap/>
            <w:vAlign w:val="center"/>
          </w:tcPr>
          <w:p w:rsidR="0091246D" w:rsidRPr="0091246D" w:rsidRDefault="0091246D" w:rsidP="0091246D">
            <w:pPr>
              <w:spacing w:after="0" w:line="240" w:lineRule="auto"/>
              <w:jc w:val="right"/>
              <w:rPr>
                <w:rFonts w:ascii="Times New Roman" w:eastAsia="Times New Roman" w:hAnsi="Times New Roman" w:cs="Times New Roman"/>
                <w:b/>
                <w:bCs/>
                <w:color w:val="000000"/>
                <w:sz w:val="20"/>
                <w:szCs w:val="20"/>
                <w:lang w:val="es-ES" w:eastAsia="es-MX"/>
              </w:rPr>
            </w:pPr>
          </w:p>
        </w:tc>
        <w:tc>
          <w:tcPr>
            <w:tcW w:w="1300" w:type="dxa"/>
            <w:tcBorders>
              <w:top w:val="nil"/>
              <w:left w:val="nil"/>
              <w:bottom w:val="nil"/>
              <w:right w:val="nil"/>
            </w:tcBorders>
            <w:shd w:val="clear" w:color="auto" w:fill="auto"/>
            <w:noWrap/>
            <w:vAlign w:val="bottom"/>
          </w:tcPr>
          <w:p w:rsidR="0091246D" w:rsidRPr="0091246D" w:rsidRDefault="0091246D" w:rsidP="0091246D">
            <w:pPr>
              <w:spacing w:after="0" w:line="240" w:lineRule="auto"/>
              <w:jc w:val="right"/>
              <w:rPr>
                <w:rFonts w:ascii="MS Sans Serif" w:eastAsia="Times New Roman" w:hAnsi="MS Sans Serif" w:cs="Times New Roman"/>
                <w:b/>
                <w:bCs/>
                <w:color w:val="000000"/>
                <w:sz w:val="20"/>
                <w:szCs w:val="20"/>
                <w:lang w:val="es-ES" w:eastAsia="es-MX"/>
              </w:rPr>
            </w:pP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OTRAS CUENTAS POR PAGAR A CORTO PLAZO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Derivado del recorte al presupuesto correspondiente al ejercicio 2019, no fue posible erogar y registrar el gasto correspondiente al pago de aguinaldo del personal del Tribunal Superior de Justicia, por lo que el saldo de $60’000,000 (sesenta millones de pesos), representa el préstamo recibido por el Fondo Auxiliar para la Administración de Justicia y que fue aprobado por la Junta de Administración, Vigilancia y Disciplina, notificado mediante acuerdo número </w:t>
      </w:r>
      <w:r w:rsidRPr="0091246D">
        <w:rPr>
          <w:rFonts w:ascii="Trebuchet MS" w:eastAsia="Times New Roman" w:hAnsi="Trebuchet MS" w:cs="Times New Roman"/>
          <w:sz w:val="24"/>
          <w:szCs w:val="24"/>
          <w:lang w:val="es-AR" w:eastAsia="es-ES"/>
        </w:rPr>
        <w:t>MCVCL/JUNTADMON/3753/2019</w:t>
      </w:r>
      <w:r w:rsidRPr="0091246D">
        <w:rPr>
          <w:rFonts w:ascii="Trebuchet MS" w:eastAsia="Times New Roman" w:hAnsi="Trebuchet MS" w:cs="Times New Roman"/>
          <w:sz w:val="24"/>
          <w:szCs w:val="24"/>
          <w:lang w:val="es-ES" w:eastAsia="es-ES"/>
        </w:rPr>
        <w:t xml:space="preserve"> el cual deberá ser cubierto al dicho Fondo a más tardar el 31 de diciembre de 2020. Dicho préstamo fue otorgado para dar cumplimiento del Artículo 42 de la Ley del Servicio Civil del Estado de Morelos.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i/>
          <w:sz w:val="24"/>
          <w:szCs w:val="24"/>
          <w:lang w:val="es-ES" w:eastAsia="es-ES"/>
        </w:rPr>
      </w:pPr>
      <w:r w:rsidRPr="0091246D">
        <w:rPr>
          <w:rFonts w:ascii="Trebuchet MS" w:eastAsia="Times New Roman" w:hAnsi="Trebuchet MS" w:cs="Times New Roman"/>
          <w:sz w:val="24"/>
          <w:szCs w:val="24"/>
          <w:lang w:val="es-ES" w:eastAsia="es-ES"/>
        </w:rPr>
        <w:t>PASIVOS DE EJERCICIOS ANTERIORES:</w:t>
      </w:r>
      <w:r w:rsidRPr="0091246D">
        <w:rPr>
          <w:rFonts w:ascii="Trebuchet MS" w:eastAsia="Times New Roman" w:hAnsi="Trebuchet MS" w:cs="Times New Roman"/>
          <w:i/>
          <w:sz w:val="24"/>
          <w:szCs w:val="24"/>
          <w:lang w:val="es-ES" w:eastAsia="es-ES"/>
        </w:rPr>
        <w:t xml:space="preserve">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Se refleja el importe de $ 134,359 (Ciento Treinta y Cuatro mil Trescientos Cincuenta y Nueve pesos) los cuales corresponden principalmente a prestaciones por pagar que se encuentran en litigio cuya resolución se estima es superior a un año. Estas obligaciones se encuentran amparadas con el recurso monetario correspondiente para sustentar el compromiso de pago.</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tbl>
      <w:tblPr>
        <w:tblW w:w="5544" w:type="dxa"/>
        <w:tblInd w:w="2442" w:type="dxa"/>
        <w:tblCellMar>
          <w:left w:w="70" w:type="dxa"/>
          <w:right w:w="70" w:type="dxa"/>
        </w:tblCellMar>
        <w:tblLook w:val="04A0" w:firstRow="1" w:lastRow="0" w:firstColumn="1" w:lastColumn="0" w:noHBand="0" w:noVBand="1"/>
      </w:tblPr>
      <w:tblGrid>
        <w:gridCol w:w="3704"/>
        <w:gridCol w:w="1840"/>
      </w:tblGrid>
      <w:tr w:rsidR="0091246D" w:rsidRPr="0091246D" w:rsidTr="006E3A97">
        <w:trPr>
          <w:trHeight w:val="510"/>
        </w:trPr>
        <w:tc>
          <w:tcPr>
            <w:tcW w:w="3704"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PROVEEDORES POR PAGAR A LARGO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1246D" w:rsidRPr="0091246D" w:rsidRDefault="0091246D" w:rsidP="0091246D">
            <w:pPr>
              <w:spacing w:after="0" w:line="240" w:lineRule="auto"/>
              <w:contextualSpacing/>
              <w:jc w:val="center"/>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IMPORTE</w:t>
            </w:r>
          </w:p>
        </w:tc>
      </w:tr>
      <w:tr w:rsidR="0091246D" w:rsidRPr="0091246D" w:rsidTr="006E3A97">
        <w:trPr>
          <w:trHeight w:val="255"/>
        </w:trPr>
        <w:tc>
          <w:tcPr>
            <w:tcW w:w="3704"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b/>
                <w:bCs/>
                <w:i/>
                <w:iCs/>
                <w:color w:val="000000"/>
                <w:sz w:val="20"/>
                <w:szCs w:val="20"/>
                <w:lang w:val="es-ES" w:eastAsia="es-MX"/>
              </w:rPr>
            </w:pPr>
            <w:r w:rsidRPr="0091246D">
              <w:rPr>
                <w:rFonts w:ascii="Trebuchet MS" w:eastAsia="Times New Roman" w:hAnsi="Trebuchet MS" w:cs="Times New Roman"/>
                <w:b/>
                <w:bCs/>
                <w:i/>
                <w:iCs/>
                <w:color w:val="000000"/>
                <w:sz w:val="20"/>
                <w:szCs w:val="20"/>
                <w:lang w:val="es-ES" w:eastAsia="es-MX"/>
              </w:rPr>
              <w:t>Pasivos Anteriores a 2015</w:t>
            </w:r>
          </w:p>
        </w:tc>
        <w:tc>
          <w:tcPr>
            <w:tcW w:w="1840"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p>
        </w:tc>
      </w:tr>
      <w:tr w:rsidR="0091246D" w:rsidRPr="0091246D" w:rsidTr="006E3A97">
        <w:trPr>
          <w:trHeight w:val="255"/>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--Olivares Garrido Enedina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8,433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w:t>
            </w:r>
            <w:proofErr w:type="spellStart"/>
            <w:r w:rsidRPr="0091246D">
              <w:rPr>
                <w:rFonts w:ascii="Trebuchet MS" w:eastAsia="Times New Roman" w:hAnsi="Trebuchet MS" w:cs="Times New Roman"/>
                <w:color w:val="000000"/>
                <w:sz w:val="20"/>
                <w:szCs w:val="20"/>
                <w:lang w:val="es-ES" w:eastAsia="es-MX"/>
              </w:rPr>
              <w:t>Rogel</w:t>
            </w:r>
            <w:proofErr w:type="spellEnd"/>
            <w:r w:rsidRPr="0091246D">
              <w:rPr>
                <w:rFonts w:ascii="Trebuchet MS" w:eastAsia="Times New Roman" w:hAnsi="Trebuchet MS" w:cs="Times New Roman"/>
                <w:color w:val="000000"/>
                <w:sz w:val="20"/>
                <w:szCs w:val="20"/>
                <w:lang w:val="es-ES" w:eastAsia="es-MX"/>
              </w:rPr>
              <w:t xml:space="preserve"> Cortes Marco</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23,163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--Millán Toledo Jesús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16,320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w:t>
            </w:r>
            <w:proofErr w:type="spellStart"/>
            <w:r w:rsidRPr="0091246D">
              <w:rPr>
                <w:rFonts w:ascii="Trebuchet MS" w:eastAsia="Times New Roman" w:hAnsi="Trebuchet MS" w:cs="Times New Roman"/>
                <w:color w:val="000000"/>
                <w:sz w:val="20"/>
                <w:szCs w:val="20"/>
                <w:lang w:val="es-ES" w:eastAsia="es-MX"/>
              </w:rPr>
              <w:t>Olivarez</w:t>
            </w:r>
            <w:proofErr w:type="spellEnd"/>
            <w:r w:rsidRPr="0091246D">
              <w:rPr>
                <w:rFonts w:ascii="Trebuchet MS" w:eastAsia="Times New Roman" w:hAnsi="Trebuchet MS" w:cs="Times New Roman"/>
                <w:color w:val="000000"/>
                <w:sz w:val="20"/>
                <w:szCs w:val="20"/>
                <w:lang w:val="es-ES" w:eastAsia="es-MX"/>
              </w:rPr>
              <w:t xml:space="preserve"> Garrido Enedina/Ahorro</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4,050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--Cruz Cuevas Jazmín Margarita</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9,786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--Ortega Salazar Alondra Juliana</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20,219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w:t>
            </w:r>
            <w:proofErr w:type="spellStart"/>
            <w:r w:rsidRPr="0091246D">
              <w:rPr>
                <w:rFonts w:ascii="Trebuchet MS" w:eastAsia="Times New Roman" w:hAnsi="Trebuchet MS" w:cs="Times New Roman"/>
                <w:color w:val="000000"/>
                <w:sz w:val="20"/>
                <w:szCs w:val="20"/>
                <w:lang w:val="es-ES" w:eastAsia="es-MX"/>
              </w:rPr>
              <w:t>Sefise</w:t>
            </w:r>
            <w:proofErr w:type="spellEnd"/>
            <w:r w:rsidRPr="0091246D">
              <w:rPr>
                <w:rFonts w:ascii="Trebuchet MS" w:eastAsia="Times New Roman" w:hAnsi="Trebuchet MS" w:cs="Times New Roman"/>
                <w:color w:val="000000"/>
                <w:sz w:val="20"/>
                <w:szCs w:val="20"/>
                <w:lang w:val="es-ES" w:eastAsia="es-MX"/>
              </w:rPr>
              <w:t xml:space="preserve"> SA de CV</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2,003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--Servicios Administrativos y </w:t>
            </w:r>
            <w:proofErr w:type="spellStart"/>
            <w:r w:rsidRPr="0091246D">
              <w:rPr>
                <w:rFonts w:ascii="Trebuchet MS" w:eastAsia="Times New Roman" w:hAnsi="Trebuchet MS" w:cs="Times New Roman"/>
                <w:color w:val="000000"/>
                <w:sz w:val="20"/>
                <w:szCs w:val="20"/>
                <w:lang w:val="es-ES" w:eastAsia="es-MX"/>
              </w:rPr>
              <w:lastRenderedPageBreak/>
              <w:t>Recretativos</w:t>
            </w:r>
            <w:proofErr w:type="spellEnd"/>
            <w:r w:rsidRPr="0091246D">
              <w:rPr>
                <w:rFonts w:ascii="Trebuchet MS" w:eastAsia="Times New Roman" w:hAnsi="Trebuchet MS" w:cs="Times New Roman"/>
                <w:color w:val="000000"/>
                <w:sz w:val="20"/>
                <w:szCs w:val="20"/>
                <w:lang w:val="es-ES" w:eastAsia="es-MX"/>
              </w:rPr>
              <w:t xml:space="preserve"> SA de C</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lastRenderedPageBreak/>
              <w:t xml:space="preserve">5,700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lastRenderedPageBreak/>
              <w:t>--Cuevas Maldonado Irma</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6,948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--Olivares Garrido Enedina</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19,514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--Omaña Márquez </w:t>
            </w:r>
            <w:proofErr w:type="spellStart"/>
            <w:r w:rsidRPr="0091246D">
              <w:rPr>
                <w:rFonts w:ascii="Trebuchet MS" w:eastAsia="Times New Roman" w:hAnsi="Trebuchet MS" w:cs="Times New Roman"/>
                <w:color w:val="000000"/>
                <w:sz w:val="20"/>
                <w:szCs w:val="20"/>
                <w:lang w:val="es-ES" w:eastAsia="es-MX"/>
              </w:rPr>
              <w:t>Nohemi</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15,836 </w:t>
            </w:r>
          </w:p>
        </w:tc>
      </w:tr>
      <w:tr w:rsidR="0091246D" w:rsidRPr="0091246D" w:rsidTr="006E3A9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--Ventura Aquino José Luis</w:t>
            </w:r>
          </w:p>
        </w:tc>
        <w:tc>
          <w:tcPr>
            <w:tcW w:w="1840" w:type="dxa"/>
            <w:tcBorders>
              <w:top w:val="nil"/>
              <w:left w:val="nil"/>
              <w:bottom w:val="single" w:sz="4" w:space="0" w:color="auto"/>
              <w:right w:val="single" w:sz="4" w:space="0" w:color="auto"/>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color w:val="000000"/>
                <w:sz w:val="20"/>
                <w:szCs w:val="20"/>
                <w:lang w:val="es-ES" w:eastAsia="es-MX"/>
              </w:rPr>
            </w:pPr>
            <w:r w:rsidRPr="0091246D">
              <w:rPr>
                <w:rFonts w:ascii="Trebuchet MS" w:eastAsia="Times New Roman" w:hAnsi="Trebuchet MS" w:cs="Times New Roman"/>
                <w:color w:val="000000"/>
                <w:sz w:val="20"/>
                <w:szCs w:val="20"/>
                <w:lang w:val="es-ES" w:eastAsia="es-MX"/>
              </w:rPr>
              <w:t xml:space="preserve">2,387 </w:t>
            </w:r>
          </w:p>
        </w:tc>
      </w:tr>
      <w:tr w:rsidR="0091246D" w:rsidRPr="0091246D" w:rsidTr="006E3A97">
        <w:trPr>
          <w:trHeight w:val="255"/>
        </w:trPr>
        <w:tc>
          <w:tcPr>
            <w:tcW w:w="3704" w:type="dxa"/>
            <w:tcBorders>
              <w:top w:val="nil"/>
              <w:left w:val="nil"/>
              <w:bottom w:val="nil"/>
              <w:right w:val="nil"/>
            </w:tcBorders>
            <w:shd w:val="clear" w:color="auto" w:fill="auto"/>
            <w:noWrap/>
            <w:vAlign w:val="center"/>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Suma</w:t>
            </w:r>
          </w:p>
        </w:tc>
        <w:tc>
          <w:tcPr>
            <w:tcW w:w="1840" w:type="dxa"/>
            <w:tcBorders>
              <w:top w:val="nil"/>
              <w:left w:val="nil"/>
              <w:bottom w:val="nil"/>
              <w:right w:val="nil"/>
            </w:tcBorders>
            <w:shd w:val="clear" w:color="auto" w:fill="auto"/>
            <w:noWrap/>
            <w:vAlign w:val="bottom"/>
            <w:hideMark/>
          </w:tcPr>
          <w:p w:rsidR="0091246D" w:rsidRPr="0091246D" w:rsidRDefault="0091246D" w:rsidP="0091246D">
            <w:pPr>
              <w:spacing w:after="0" w:line="240" w:lineRule="auto"/>
              <w:contextualSpacing/>
              <w:jc w:val="right"/>
              <w:rPr>
                <w:rFonts w:ascii="Trebuchet MS" w:eastAsia="Times New Roman" w:hAnsi="Trebuchet MS" w:cs="Times New Roman"/>
                <w:b/>
                <w:bCs/>
                <w:color w:val="000000"/>
                <w:sz w:val="20"/>
                <w:szCs w:val="20"/>
                <w:lang w:val="es-ES" w:eastAsia="es-MX"/>
              </w:rPr>
            </w:pPr>
            <w:r w:rsidRPr="0091246D">
              <w:rPr>
                <w:rFonts w:ascii="Trebuchet MS" w:eastAsia="Times New Roman" w:hAnsi="Trebuchet MS" w:cs="Times New Roman"/>
                <w:b/>
                <w:bCs/>
                <w:color w:val="000000"/>
                <w:sz w:val="20"/>
                <w:szCs w:val="20"/>
                <w:lang w:val="es-ES" w:eastAsia="es-MX"/>
              </w:rPr>
              <w:t xml:space="preserve">134,359 </w:t>
            </w: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PROVISIÓN POR PAGAR HABER DE RETIRO</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los cuales fueron de $463,072 (cuatrocientos sesenta y tres mil setenta y dos pesos), en el ejercicio 2018 se obtuvieron rendimientos por $ 1’091,821 (un millón noventa y un mil ochocientos veintiún pesos) para totalizar un importe de $15’100,893 (quince millones cien mil ochocientos noventa y tres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13) FONDOS DE BIENES DE TERCEROS (sin información que revelar)</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14) PASIVOS DIFERIDO Y OTROS (sin información que revelar)</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 Notas al Estado de Actividades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w:t>
      </w:r>
      <w:r w:rsidRPr="0091246D">
        <w:rPr>
          <w:rFonts w:ascii="Trebuchet MS" w:eastAsia="Times New Roman" w:hAnsi="Trebuchet MS" w:cs="Times New Roman"/>
          <w:sz w:val="24"/>
          <w:szCs w:val="24"/>
          <w:lang w:val="es-ES" w:eastAsia="es-ES"/>
        </w:rPr>
        <w:tab/>
        <w:t>Ingresos de Gestión</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15) RUBROS DE IMPUESTOS, CUOTAS Y APORTACIONES DE SEGURIDAD SOCIAL, CONTRIBUCIONES DE MEJORAS, DERECHOS PRODUCTOS, APROVECHAMIENTOS, Y DE INGRESOS POR VENTA DE BIENES Y PRESTACIÓN DE SERVICIO.</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Se recaudó un importe total de $2’987,310 (dos millones novecientos ochenta y siete mil trescientos diez pesos), desglosado por concepto de ingresos financieros $1’682,002 (un millón seiscientos ochenta y dos mil dos pesos) derivadas de inversión de disponibilidades financieras. En el rubro de otros ingresos se percibe un importe de $194,771 (ciento noventa y cuatro mil setecientos setenta y un pesos). Por reintegro de incapacidades y recuperaciones se recauda la cantidad de $1’110,537 (un millón ciento diez mil quinientos treinta y siete pesos).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16) RUBROS DE PARTICIAPACIONES, APORTACIONES, CONVENIOS, INCENTIVOS DERIVADOS DE LA COLABORACION FISCAL, FONDOS DISTINTOS DE APORTACIONES, TRANSFERENCIAS, ASIGNACIONES, SUBSIDIOS Y SUBVENCIONES, PENSIONES Y JUBILACIONES: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Se reciben las ministraciones acumuladas al cierre del Segundo Trimestre 2020 por un importe de $333’802,448 (trescientos treinta y tres millones ochocientos dos mil cuatrocientos cuarenta y ocho pesos).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17) OTROS INGRESOS Y BENEFICIOS VARIOS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Se recaudó en este rubro la cantidad de $1’305,308 (un millón trescientos cinco mil trescientos ocho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II.II</w:t>
      </w:r>
      <w:r w:rsidRPr="0091246D">
        <w:rPr>
          <w:rFonts w:ascii="Trebuchet MS" w:eastAsia="Times New Roman" w:hAnsi="Trebuchet MS" w:cs="Times New Roman"/>
          <w:sz w:val="24"/>
          <w:szCs w:val="24"/>
          <w:lang w:val="es-ES" w:eastAsia="es-ES"/>
        </w:rPr>
        <w:tab/>
        <w:t>Gastos y Otras Pérdidas: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18) GASTOS Y OTRAS PERDIDAS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91246D">
        <w:rPr>
          <w:rFonts w:ascii="Trebuchet MS" w:eastAsia="Times New Roman" w:hAnsi="Trebuchet MS" w:cs="Times New Roman"/>
          <w:spacing w:val="-4"/>
          <w:sz w:val="24"/>
          <w:szCs w:val="24"/>
          <w:lang w:val="es-ES" w:eastAsia="es-ES"/>
        </w:rPr>
        <w:t>del Segundo Trimestre 2020, se erogó</w:t>
      </w:r>
      <w:r w:rsidRPr="0091246D">
        <w:rPr>
          <w:rFonts w:ascii="Trebuchet MS" w:eastAsia="Times New Roman" w:hAnsi="Trebuchet MS" w:cs="Times New Roman"/>
          <w:sz w:val="24"/>
          <w:szCs w:val="24"/>
          <w:lang w:val="es-ES" w:eastAsia="es-ES"/>
        </w:rPr>
        <w:t xml:space="preserve"> la cantidad de $114,805,818 (ciento catorce millones ochocientos cinco mil ochocientos dieciocho pesos); en Remuneraciones Adicionales y Especiales $74’731,806 (setenta y cuatro  millones setecientos treinta y un mil ochocientos seis pesos); en Seguridad Social $33’215,064 (treinta y tres millones doscientos quince mil sesenta y cuatro pesos); en Otras Prestaciones Sociales y Económicas $36’007,944 (treinta y seis millones siete mil novecientos cuarenta y cuatro pesos) y en Estímulos a Servidores Públicos se erogó la cantidad de $1’219,522 (un millón doscientos diecinueve mil quinientos veinte dos pesos); dichos gastos en el rubro de </w:t>
      </w:r>
      <w:r w:rsidRPr="0091246D">
        <w:rPr>
          <w:rFonts w:ascii="Trebuchet MS" w:eastAsia="Times New Roman" w:hAnsi="Trebuchet MS" w:cs="Times New Roman"/>
          <w:b/>
          <w:sz w:val="24"/>
          <w:szCs w:val="24"/>
          <w:lang w:val="es-ES" w:eastAsia="es-ES"/>
        </w:rPr>
        <w:t>Servicios Personales</w:t>
      </w:r>
      <w:r w:rsidRPr="0091246D">
        <w:rPr>
          <w:rFonts w:ascii="Trebuchet MS" w:eastAsia="Times New Roman" w:hAnsi="Trebuchet MS" w:cs="Times New Roman"/>
          <w:sz w:val="24"/>
          <w:szCs w:val="24"/>
          <w:lang w:val="es-ES" w:eastAsia="es-ES"/>
        </w:rPr>
        <w:t xml:space="preserve"> representan aproximadamente el 76.84% del total de erogaciones de gastos. Cabe mencionar que derivado del recorte al presupuesto del Tribunal Superior de Justicia para el ejercicio fiscal 2019, se difirió el gasto del pago de aguinaldo 2019 para su reconocimiento en el presente ejercicio fiscal 2020. </w:t>
      </w:r>
    </w:p>
    <w:p w:rsidR="0091246D" w:rsidRPr="0091246D" w:rsidRDefault="0091246D" w:rsidP="0091246D">
      <w:pPr>
        <w:spacing w:after="0"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En el rubro de </w:t>
      </w:r>
      <w:r w:rsidRPr="0091246D">
        <w:rPr>
          <w:rFonts w:ascii="Trebuchet MS" w:eastAsia="Times New Roman" w:hAnsi="Trebuchet MS" w:cs="Times New Roman"/>
          <w:b/>
          <w:sz w:val="24"/>
          <w:szCs w:val="24"/>
          <w:lang w:val="es-ES" w:eastAsia="es-ES"/>
        </w:rPr>
        <w:t>Materiales y Suministros</w:t>
      </w:r>
      <w:r w:rsidRPr="0091246D">
        <w:rPr>
          <w:rFonts w:ascii="Trebuchet MS" w:eastAsia="Times New Roman" w:hAnsi="Trebuchet MS" w:cs="Times New Roman"/>
          <w:sz w:val="24"/>
          <w:szCs w:val="24"/>
          <w:lang w:val="es-ES" w:eastAsia="es-ES"/>
        </w:rPr>
        <w:t xml:space="preserve"> el gasto correspondió a  $2’966,211 (dos millones novecientos sesenta y seis mil doscientos once pesos), en Materiales de Administración se erogó la cantidad de $397,405 (trescientos noventa y siete mil cuatrocientos cinco pesos); en Alimentos y Utensilios $345,637 (trescientos cuarenta y cinco mil seiscientos treinta y siete pesos); en Materiales y Artículos de Construcción y Reparación $108,946 (cientos ocho mil novecientos cuarenta y seis pesos); en Productos Químicos y Farmacéuticos $25,554 (veinticinco mil quinientos cincuenta y cuatro pesos); en Combustible Lubricantes y aditivos $1’609,683 (un millón seiscientos nueve mil seiscientos ochenta y tres pesos); en Vestuario, Blancos y Prendas de Protección $115,770 (cientos quince mil setecientos setenta pesos); en Herramientas, Refacciones y Accesorios se erogó la cantidad de $363,216 (trescientos sesenta y tres mil doscientos dieciséis pesos); siendo el rubro más significativo el que se erogó por concepto de Combustible Lubricantes y aditivos $1’609,683 (un millón seiscientos nueve mil seiscientos ochenta y tres pesos).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El rubro de </w:t>
      </w:r>
      <w:r w:rsidRPr="0091246D">
        <w:rPr>
          <w:rFonts w:ascii="Trebuchet MS" w:eastAsia="Times New Roman" w:hAnsi="Trebuchet MS" w:cs="Times New Roman"/>
          <w:b/>
          <w:sz w:val="24"/>
          <w:szCs w:val="24"/>
          <w:lang w:val="es-ES" w:eastAsia="es-ES"/>
        </w:rPr>
        <w:t>Servicios Generales</w:t>
      </w:r>
      <w:r w:rsidRPr="0091246D">
        <w:rPr>
          <w:rFonts w:ascii="Trebuchet MS" w:eastAsia="Times New Roman" w:hAnsi="Trebuchet MS" w:cs="Times New Roman"/>
          <w:sz w:val="24"/>
          <w:szCs w:val="24"/>
          <w:lang w:val="es-ES" w:eastAsia="es-ES"/>
        </w:rPr>
        <w:t xml:space="preserve"> ascendió a $11’637,368 (once millones seiscientos treinta y siete mil trescientos sesenta y ocho pesos), en Servicios Básicos se erogó 3’737,035 (tres millones setecientos treinta y siete mil treinta y cinco pesos); en Servicios de Arrendamiento $708,891 (setecientos ocho mil ochocientos noventa y un pesos); en Servicios Profesionales $47,357 (cuarenta y siete mil trescientos cincuenta y siete pesos); en Servicios Financieros, Bancarios y Comerciales $257,620 (doscientos cincuenta y siete mil seiscientos veinte pesos); en servicios de instalación y reparación  $754,654 (setecientos cincuenta y cuatro mil seiscientos cincuenta y cuatro pesos), servicios de comunicación social y publicidad $178,060 (cientos setenta y ocho mil sesenta pesos); en Servicios de Traslado y Viáticos $30,985 (treinta mil novecientos ochenta y cinco pesos); en Servicios Oficiales $46,980 (cuarenta y seis mil novecientos ochenta pesos) y finalmente en otros servicios generales la cantidad de $5’875,786 (cinco millones ochocientos setenta y cinco mil setecientos ochenta y seis pesos).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El gasto por concepto de Transferencias para Personal en Retiro fue por un importe de $63’212,523 (sesenta y tres millones doscientos doce mil quinientos veintitrés pesos).</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r w:rsidRPr="0091246D">
        <w:rPr>
          <w:rFonts w:ascii="Trebuchet MS" w:eastAsia="Times New Roman" w:hAnsi="Trebuchet MS" w:cs="Times New Roman"/>
          <w:sz w:val="24"/>
          <w:szCs w:val="24"/>
          <w:lang w:val="es-ES" w:eastAsia="es-ES"/>
        </w:rPr>
        <w:t>II.III NOTAS AL ESTADO DE VARIACIÓN EN LA HACIENDA PÚBLICA</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NOTA 19) MODIFICACIONES AL PATRIMONIO CONTRIBUIDO: </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numPr>
          <w:ilvl w:val="0"/>
          <w:numId w:val="49"/>
        </w:numPr>
        <w:spacing w:after="101" w:line="240" w:lineRule="auto"/>
        <w:contextualSpacing/>
        <w:jc w:val="both"/>
        <w:rPr>
          <w:rFonts w:ascii="Trebuchet MS" w:eastAsia="Times New Roman" w:hAnsi="Trebuchet MS" w:cs="Times New Roman"/>
          <w:sz w:val="20"/>
          <w:szCs w:val="20"/>
          <w:lang w:val="es-ES" w:eastAsia="es-ES"/>
        </w:rPr>
      </w:pPr>
      <w:r w:rsidRPr="0091246D">
        <w:rPr>
          <w:rFonts w:ascii="Trebuchet MS" w:eastAsia="Times New Roman" w:hAnsi="Trebuchet MS" w:cs="Times New Roman"/>
          <w:sz w:val="20"/>
          <w:szCs w:val="20"/>
          <w:lang w:val="es-ES" w:eastAsia="es-ES"/>
        </w:rPr>
        <w:t>El patrimonio de la Entidad está constituido los siguientes conceptos:</w:t>
      </w:r>
    </w:p>
    <w:p w:rsidR="0091246D" w:rsidRPr="0091246D" w:rsidRDefault="0091246D" w:rsidP="0091246D">
      <w:pPr>
        <w:numPr>
          <w:ilvl w:val="0"/>
          <w:numId w:val="49"/>
        </w:numPr>
        <w:spacing w:after="101" w:line="240" w:lineRule="auto"/>
        <w:contextualSpacing/>
        <w:jc w:val="both"/>
        <w:rPr>
          <w:rFonts w:ascii="Trebuchet MS" w:eastAsia="Times New Roman" w:hAnsi="Trebuchet MS" w:cs="Times New Roman"/>
          <w:sz w:val="20"/>
          <w:szCs w:val="20"/>
          <w:lang w:val="es-ES" w:eastAsia="es-ES"/>
        </w:rPr>
      </w:pPr>
      <w:r w:rsidRPr="0091246D">
        <w:rPr>
          <w:rFonts w:ascii="Trebuchet MS" w:eastAsia="Times New Roman" w:hAnsi="Trebuchet MS" w:cs="Times New Roman"/>
          <w:sz w:val="20"/>
          <w:szCs w:val="20"/>
          <w:lang w:val="es-ES" w:eastAsia="es-ES"/>
        </w:rPr>
        <w:t>Las Aportaciones que reciba del Gobierno Estatal</w:t>
      </w:r>
    </w:p>
    <w:p w:rsidR="0091246D" w:rsidRPr="0091246D" w:rsidRDefault="0091246D" w:rsidP="0091246D">
      <w:pPr>
        <w:numPr>
          <w:ilvl w:val="0"/>
          <w:numId w:val="49"/>
        </w:numPr>
        <w:spacing w:after="101" w:line="240" w:lineRule="auto"/>
        <w:contextualSpacing/>
        <w:jc w:val="both"/>
        <w:rPr>
          <w:rFonts w:ascii="Trebuchet MS" w:eastAsia="Times New Roman" w:hAnsi="Trebuchet MS" w:cs="Times New Roman"/>
          <w:sz w:val="20"/>
          <w:szCs w:val="20"/>
          <w:lang w:val="es-ES" w:eastAsia="es-ES"/>
        </w:rPr>
      </w:pPr>
      <w:r w:rsidRPr="0091246D">
        <w:rPr>
          <w:rFonts w:ascii="Trebuchet MS" w:eastAsia="Times New Roman" w:hAnsi="Trebuchet MS" w:cs="Times New Roman"/>
          <w:sz w:val="20"/>
          <w:szCs w:val="20"/>
          <w:lang w:val="es-ES" w:eastAsia="es-ES"/>
        </w:rPr>
        <w:t>Los Ingresos provenientes de su operación y los que perciba por la realización de sus actividades</w:t>
      </w:r>
    </w:p>
    <w:p w:rsidR="0091246D" w:rsidRDefault="0091246D" w:rsidP="0091246D">
      <w:pPr>
        <w:spacing w:after="101" w:line="240" w:lineRule="auto"/>
        <w:contextualSpacing/>
        <w:jc w:val="both"/>
        <w:rPr>
          <w:rFonts w:ascii="Trebuchet MS" w:eastAsia="Calibri" w:hAnsi="Trebuchet MS" w:cs="Times New Roman"/>
          <w:b/>
          <w:sz w:val="24"/>
          <w:szCs w:val="24"/>
        </w:rPr>
      </w:pPr>
    </w:p>
    <w:p w:rsidR="00CB38E4" w:rsidRPr="0091246D" w:rsidRDefault="00CB38E4" w:rsidP="0091246D">
      <w:pPr>
        <w:spacing w:after="101" w:line="240" w:lineRule="auto"/>
        <w:contextualSpacing/>
        <w:jc w:val="both"/>
        <w:rPr>
          <w:rFonts w:ascii="Trebuchet MS" w:eastAsia="Calibri" w:hAnsi="Trebuchet MS" w:cs="Times New Roman"/>
          <w:b/>
          <w:sz w:val="24"/>
          <w:szCs w:val="24"/>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20) MODIFICACIONES AL PATRIMONIO GENERADO:</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Resultado del ejercicio: Ahorro/Desahorro</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Es el resultado de la actualización total de la entidad durante el periodo y está representado por el Resultado del Ejercicio: Ahorro/Desahorro, por un importe de $-5</w:t>
      </w:r>
      <w:proofErr w:type="gramStart"/>
      <w:r w:rsidRPr="0091246D">
        <w:rPr>
          <w:rFonts w:ascii="Trebuchet MS" w:eastAsia="Times New Roman" w:hAnsi="Trebuchet MS" w:cs="Times New Roman"/>
          <w:sz w:val="24"/>
          <w:szCs w:val="24"/>
          <w:lang w:val="es-ES" w:eastAsia="es-ES"/>
        </w:rPr>
        <w:t>,148,877</w:t>
      </w:r>
      <w:proofErr w:type="gramEnd"/>
      <w:r w:rsidRPr="0091246D">
        <w:rPr>
          <w:rFonts w:ascii="Trebuchet MS" w:eastAsia="Times New Roman" w:hAnsi="Trebuchet MS" w:cs="Times New Roman"/>
          <w:sz w:val="24"/>
          <w:szCs w:val="24"/>
          <w:lang w:val="es-ES" w:eastAsia="es-ES"/>
        </w:rPr>
        <w:t xml:space="preserve"> y $-11’185,934 en 2020 y 2019 respectivamente.</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Resultado de Ejercicios Anteriores</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Al 30 de Junio 2020 y 2019 el saldo acumulado que incluye el resultado del ejercicio, asciende a $146’869,571 y $203’290,087 respectivamente.</w:t>
      </w: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II.IV  NOTAS AL ESTADO DE FLUJOS DE EFECTIVO</w:t>
      </w:r>
    </w:p>
    <w:p w:rsidR="0091246D" w:rsidRPr="0091246D" w:rsidRDefault="0091246D" w:rsidP="0091246D">
      <w:pPr>
        <w:spacing w:after="101" w:line="240" w:lineRule="auto"/>
        <w:ind w:firstLine="288"/>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21) EFECTIVO Y EQUIVALENTES:</w:t>
      </w:r>
    </w:p>
    <w:tbl>
      <w:tblPr>
        <w:tblW w:w="5231" w:type="dxa"/>
        <w:tblInd w:w="2682" w:type="dxa"/>
        <w:tblCellMar>
          <w:left w:w="70" w:type="dxa"/>
          <w:right w:w="70" w:type="dxa"/>
        </w:tblCellMar>
        <w:tblLook w:val="04A0" w:firstRow="1" w:lastRow="0" w:firstColumn="1" w:lastColumn="0" w:noHBand="0" w:noVBand="1"/>
      </w:tblPr>
      <w:tblGrid>
        <w:gridCol w:w="2780"/>
        <w:gridCol w:w="1412"/>
        <w:gridCol w:w="1309"/>
      </w:tblGrid>
      <w:tr w:rsidR="0091246D" w:rsidRPr="0091246D" w:rsidTr="006E3A97">
        <w:trPr>
          <w:trHeight w:val="173"/>
        </w:trPr>
        <w:tc>
          <w:tcPr>
            <w:tcW w:w="2780" w:type="dxa"/>
            <w:tcBorders>
              <w:top w:val="single" w:sz="8" w:space="0" w:color="auto"/>
              <w:left w:val="single" w:sz="8" w:space="0" w:color="auto"/>
              <w:bottom w:val="single" w:sz="8" w:space="0" w:color="auto"/>
              <w:right w:val="nil"/>
            </w:tcBorders>
            <w:shd w:val="clear" w:color="000000" w:fill="009900"/>
            <w:noWrap/>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lastRenderedPageBreak/>
              <w:t>CONCEPTO</w:t>
            </w:r>
          </w:p>
        </w:tc>
        <w:tc>
          <w:tcPr>
            <w:tcW w:w="1142" w:type="dxa"/>
            <w:tcBorders>
              <w:top w:val="single" w:sz="8" w:space="0" w:color="auto"/>
              <w:left w:val="single" w:sz="8" w:space="0" w:color="auto"/>
              <w:bottom w:val="single" w:sz="8" w:space="0" w:color="auto"/>
              <w:right w:val="single" w:sz="8" w:space="0" w:color="auto"/>
            </w:tcBorders>
            <w:shd w:val="clear" w:color="000000" w:fill="009900"/>
            <w:noWrap/>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2020</w:t>
            </w:r>
          </w:p>
        </w:tc>
        <w:tc>
          <w:tcPr>
            <w:tcW w:w="1309" w:type="dxa"/>
            <w:tcBorders>
              <w:top w:val="single" w:sz="8" w:space="0" w:color="auto"/>
              <w:left w:val="nil"/>
              <w:bottom w:val="single" w:sz="8" w:space="0" w:color="auto"/>
              <w:right w:val="single" w:sz="8" w:space="0" w:color="auto"/>
            </w:tcBorders>
            <w:shd w:val="clear" w:color="000000" w:fill="009900"/>
            <w:noWrap/>
            <w:hideMark/>
          </w:tcPr>
          <w:p w:rsidR="0091246D" w:rsidRPr="0091246D" w:rsidRDefault="0091246D" w:rsidP="0091246D">
            <w:pPr>
              <w:spacing w:after="0" w:line="240" w:lineRule="auto"/>
              <w:jc w:val="center"/>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2019</w:t>
            </w:r>
          </w:p>
        </w:tc>
      </w:tr>
      <w:tr w:rsidR="0091246D" w:rsidRPr="0091246D" w:rsidTr="006E3A97">
        <w:trPr>
          <w:trHeight w:val="188"/>
        </w:trPr>
        <w:tc>
          <w:tcPr>
            <w:tcW w:w="2780" w:type="dxa"/>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Efectivo en Bancos – Tesorería</w:t>
            </w:r>
          </w:p>
        </w:tc>
        <w:tc>
          <w:tcPr>
            <w:tcW w:w="1142" w:type="dxa"/>
            <w:tcBorders>
              <w:top w:val="nil"/>
              <w:left w:val="nil"/>
              <w:bottom w:val="nil"/>
              <w:right w:val="nil"/>
            </w:tcBorders>
            <w:shd w:val="clear" w:color="000000" w:fill="FFFFFF"/>
            <w:noWrap/>
            <w:hideMark/>
          </w:tcPr>
          <w:p w:rsidR="0091246D" w:rsidRPr="0091246D" w:rsidRDefault="0091246D" w:rsidP="0091246D">
            <w:pPr>
              <w:spacing w:after="0" w:line="240" w:lineRule="auto"/>
              <w:ind w:left="780"/>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xml:space="preserve">397,065 </w:t>
            </w:r>
          </w:p>
        </w:tc>
        <w:tc>
          <w:tcPr>
            <w:tcW w:w="1309"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xml:space="preserve">        7,241,714 </w:t>
            </w:r>
          </w:p>
        </w:tc>
      </w:tr>
      <w:tr w:rsidR="0091246D" w:rsidRPr="0091246D" w:rsidTr="006E3A97">
        <w:trPr>
          <w:trHeight w:val="263"/>
        </w:trPr>
        <w:tc>
          <w:tcPr>
            <w:tcW w:w="2780" w:type="dxa"/>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Efectivo en Bancos - Dependencias</w:t>
            </w:r>
          </w:p>
        </w:tc>
        <w:tc>
          <w:tcPr>
            <w:tcW w:w="1142" w:type="dxa"/>
            <w:tcBorders>
              <w:top w:val="nil"/>
              <w:left w:val="nil"/>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65"/>
        </w:trPr>
        <w:tc>
          <w:tcPr>
            <w:tcW w:w="2780" w:type="dxa"/>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Inversiones Temporales (hasta 3 meses)</w:t>
            </w:r>
          </w:p>
        </w:tc>
        <w:tc>
          <w:tcPr>
            <w:tcW w:w="1142" w:type="dxa"/>
            <w:tcBorders>
              <w:top w:val="nil"/>
              <w:left w:val="nil"/>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92"/>
        </w:trPr>
        <w:tc>
          <w:tcPr>
            <w:tcW w:w="2780" w:type="dxa"/>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Fondos con Afectación Especifica</w:t>
            </w:r>
          </w:p>
        </w:tc>
        <w:tc>
          <w:tcPr>
            <w:tcW w:w="1142" w:type="dxa"/>
            <w:tcBorders>
              <w:top w:val="nil"/>
              <w:left w:val="nil"/>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84"/>
        </w:trPr>
        <w:tc>
          <w:tcPr>
            <w:tcW w:w="2780" w:type="dxa"/>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Depósitos de Fondos de Terceros y Otros</w:t>
            </w:r>
          </w:p>
        </w:tc>
        <w:tc>
          <w:tcPr>
            <w:tcW w:w="1142" w:type="dxa"/>
            <w:tcBorders>
              <w:top w:val="nil"/>
              <w:left w:val="nil"/>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r w:rsidR="0091246D" w:rsidRPr="0091246D" w:rsidTr="006E3A97">
        <w:trPr>
          <w:trHeight w:val="184"/>
        </w:trPr>
        <w:tc>
          <w:tcPr>
            <w:tcW w:w="2780" w:type="dxa"/>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Total de Efectivo y Equivalentes</w:t>
            </w:r>
          </w:p>
        </w:tc>
        <w:tc>
          <w:tcPr>
            <w:tcW w:w="1142" w:type="dxa"/>
            <w:tcBorders>
              <w:top w:val="nil"/>
              <w:left w:val="nil"/>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 xml:space="preserve">                 397,065</w:t>
            </w:r>
          </w:p>
        </w:tc>
        <w:tc>
          <w:tcPr>
            <w:tcW w:w="1309" w:type="dxa"/>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b/>
                <w:bCs/>
                <w:color w:val="000000"/>
                <w:sz w:val="14"/>
                <w:szCs w:val="14"/>
                <w:lang w:eastAsia="es-MX"/>
              </w:rPr>
            </w:pPr>
            <w:r w:rsidRPr="0091246D">
              <w:rPr>
                <w:rFonts w:ascii="Trebuchet MS" w:eastAsia="Times New Roman" w:hAnsi="Trebuchet MS" w:cs="Tahoma"/>
                <w:b/>
                <w:bCs/>
                <w:color w:val="000000"/>
                <w:sz w:val="14"/>
                <w:szCs w:val="14"/>
                <w:lang w:eastAsia="es-MX"/>
              </w:rPr>
              <w:t xml:space="preserve">       7,241,714 </w:t>
            </w:r>
          </w:p>
        </w:tc>
      </w:tr>
      <w:tr w:rsidR="0091246D" w:rsidRPr="0091246D" w:rsidTr="006E3A97">
        <w:trPr>
          <w:trHeight w:val="177"/>
        </w:trPr>
        <w:tc>
          <w:tcPr>
            <w:tcW w:w="2780" w:type="dxa"/>
            <w:tcBorders>
              <w:top w:val="nil"/>
              <w:left w:val="single" w:sz="8" w:space="0" w:color="auto"/>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142" w:type="dxa"/>
            <w:tcBorders>
              <w:top w:val="nil"/>
              <w:left w:val="nil"/>
              <w:bottom w:val="single" w:sz="8" w:space="0" w:color="auto"/>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4"/>
                <w:szCs w:val="14"/>
                <w:lang w:eastAsia="es-MX"/>
              </w:rPr>
            </w:pPr>
            <w:r w:rsidRPr="0091246D">
              <w:rPr>
                <w:rFonts w:ascii="Trebuchet MS" w:eastAsia="Times New Roman" w:hAnsi="Trebuchet MS" w:cs="Tahoma"/>
                <w:color w:val="000000"/>
                <w:sz w:val="14"/>
                <w:szCs w:val="14"/>
                <w:lang w:eastAsia="es-MX"/>
              </w:rPr>
              <w:t> </w:t>
            </w:r>
          </w:p>
        </w:tc>
      </w:tr>
    </w:tbl>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NOTA 22)  ADQUISICIONES DE BIENES MUEBLES E INMUEBLES</w:t>
      </w:r>
    </w:p>
    <w:tbl>
      <w:tblPr>
        <w:tblW w:w="6272" w:type="dxa"/>
        <w:tblInd w:w="1242" w:type="dxa"/>
        <w:tblCellMar>
          <w:left w:w="70" w:type="dxa"/>
          <w:right w:w="70" w:type="dxa"/>
        </w:tblCellMar>
        <w:tblLook w:val="04A0" w:firstRow="1" w:lastRow="0" w:firstColumn="1" w:lastColumn="0" w:noHBand="0" w:noVBand="1"/>
      </w:tblPr>
      <w:tblGrid>
        <w:gridCol w:w="4698"/>
        <w:gridCol w:w="1574"/>
      </w:tblGrid>
      <w:tr w:rsidR="0091246D" w:rsidRPr="0091246D" w:rsidTr="006E3A97">
        <w:trPr>
          <w:trHeight w:val="490"/>
        </w:trPr>
        <w:tc>
          <w:tcPr>
            <w:tcW w:w="0" w:type="auto"/>
            <w:tcBorders>
              <w:top w:val="single" w:sz="8" w:space="0" w:color="auto"/>
              <w:left w:val="single" w:sz="8" w:space="0" w:color="auto"/>
              <w:bottom w:val="single" w:sz="8" w:space="0" w:color="auto"/>
              <w:right w:val="single" w:sz="8" w:space="0" w:color="auto"/>
            </w:tcBorders>
            <w:shd w:val="clear" w:color="000000" w:fill="009900"/>
            <w:noWrap/>
            <w:vAlign w:val="center"/>
            <w:hideMark/>
          </w:tcPr>
          <w:p w:rsidR="0091246D" w:rsidRPr="0091246D" w:rsidRDefault="0091246D" w:rsidP="0091246D">
            <w:pPr>
              <w:spacing w:after="0" w:line="240" w:lineRule="auto"/>
              <w:jc w:val="center"/>
              <w:rPr>
                <w:rFonts w:ascii="Trebuchet MS" w:eastAsia="Times New Roman" w:hAnsi="Trebuchet MS" w:cs="Tahoma"/>
                <w:b/>
                <w:bCs/>
                <w:color w:val="000000"/>
                <w:sz w:val="12"/>
                <w:szCs w:val="12"/>
                <w:lang w:eastAsia="es-MX"/>
              </w:rPr>
            </w:pPr>
            <w:r w:rsidRPr="0091246D">
              <w:rPr>
                <w:rFonts w:ascii="Trebuchet MS" w:eastAsia="Times New Roman" w:hAnsi="Trebuchet MS" w:cs="Tahoma"/>
                <w:b/>
                <w:bCs/>
                <w:color w:val="000000"/>
                <w:sz w:val="12"/>
                <w:szCs w:val="12"/>
                <w:lang w:eastAsia="es-MX"/>
              </w:rPr>
              <w:t>BIENES MUEBLES E INMUEBLES</w:t>
            </w:r>
          </w:p>
        </w:tc>
        <w:tc>
          <w:tcPr>
            <w:tcW w:w="0" w:type="auto"/>
            <w:tcBorders>
              <w:top w:val="single" w:sz="8" w:space="0" w:color="auto"/>
              <w:left w:val="nil"/>
              <w:bottom w:val="single" w:sz="8" w:space="0" w:color="auto"/>
              <w:right w:val="single" w:sz="8" w:space="0" w:color="auto"/>
            </w:tcBorders>
            <w:shd w:val="clear" w:color="000000" w:fill="009900"/>
            <w:hideMark/>
          </w:tcPr>
          <w:p w:rsidR="0091246D" w:rsidRPr="0091246D" w:rsidRDefault="0091246D" w:rsidP="0091246D">
            <w:pPr>
              <w:spacing w:after="0" w:line="240" w:lineRule="auto"/>
              <w:jc w:val="center"/>
              <w:rPr>
                <w:rFonts w:ascii="Trebuchet MS" w:eastAsia="Times New Roman" w:hAnsi="Trebuchet MS" w:cs="Tahoma"/>
                <w:b/>
                <w:bCs/>
                <w:color w:val="000000"/>
                <w:sz w:val="12"/>
                <w:szCs w:val="12"/>
                <w:lang w:eastAsia="es-MX"/>
              </w:rPr>
            </w:pPr>
          </w:p>
          <w:p w:rsidR="0091246D" w:rsidRPr="0091246D" w:rsidRDefault="0091246D" w:rsidP="0091246D">
            <w:pPr>
              <w:spacing w:after="0" w:line="240" w:lineRule="auto"/>
              <w:jc w:val="center"/>
              <w:rPr>
                <w:rFonts w:ascii="Trebuchet MS" w:eastAsia="Times New Roman" w:hAnsi="Trebuchet MS" w:cs="Tahoma"/>
                <w:b/>
                <w:bCs/>
                <w:color w:val="000000"/>
                <w:sz w:val="12"/>
                <w:szCs w:val="12"/>
                <w:lang w:eastAsia="es-MX"/>
              </w:rPr>
            </w:pPr>
            <w:r w:rsidRPr="0091246D">
              <w:rPr>
                <w:rFonts w:ascii="Trebuchet MS" w:eastAsia="Times New Roman" w:hAnsi="Trebuchet MS" w:cs="Tahoma"/>
                <w:b/>
                <w:bCs/>
                <w:color w:val="000000"/>
                <w:sz w:val="12"/>
                <w:szCs w:val="12"/>
                <w:lang w:eastAsia="es-MX"/>
              </w:rPr>
              <w:t>IMPORTE AL 30 JUN 2020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Terreno crucero Zacatepec</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$100,000.00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Terreno Jiutepec</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$212,500.00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Terreno Cuautla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$1,674,445.45</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xml:space="preserve">Terreno Puente de </w:t>
            </w:r>
            <w:proofErr w:type="spellStart"/>
            <w:r w:rsidRPr="0091246D">
              <w:rPr>
                <w:rFonts w:ascii="Trebuchet MS" w:eastAsia="Times New Roman" w:hAnsi="Trebuchet MS" w:cs="Tahoma"/>
                <w:color w:val="000000"/>
                <w:sz w:val="12"/>
                <w:szCs w:val="12"/>
                <w:lang w:eastAsia="es-MX"/>
              </w:rPr>
              <w:t>Ixtla</w:t>
            </w:r>
            <w:proofErr w:type="spellEnd"/>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$90,000.00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Terrenos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$4,799,561.14</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CENDI</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$728,592.00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Jiutepec</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$20,844,497.57</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Álvaro Obregón # 1209</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$25,210,534.65</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Álvaro Obregón # 705-B</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$3,640,862.68</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xml:space="preserve">Inmueble Puente de </w:t>
            </w:r>
            <w:proofErr w:type="spellStart"/>
            <w:r w:rsidRPr="0091246D">
              <w:rPr>
                <w:rFonts w:ascii="Trebuchet MS" w:eastAsia="Times New Roman" w:hAnsi="Trebuchet MS" w:cs="Tahoma"/>
                <w:color w:val="000000"/>
                <w:sz w:val="12"/>
                <w:szCs w:val="12"/>
                <w:lang w:eastAsia="es-MX"/>
              </w:rPr>
              <w:t>Ixtla</w:t>
            </w:r>
            <w:proofErr w:type="spellEnd"/>
            <w:r w:rsidRPr="0091246D">
              <w:rPr>
                <w:rFonts w:ascii="Trebuchet MS" w:eastAsia="Times New Roman" w:hAnsi="Trebuchet MS" w:cs="Tahoma"/>
                <w:color w:val="000000"/>
                <w:sz w:val="12"/>
                <w:szCs w:val="12"/>
                <w:lang w:eastAsia="es-MX"/>
              </w:rPr>
              <w:t xml:space="preserve"> Emilio Portes Gil #1</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$6,660,566.57</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xml:space="preserve">Inmueble </w:t>
            </w:r>
            <w:proofErr w:type="spellStart"/>
            <w:r w:rsidRPr="0091246D">
              <w:rPr>
                <w:rFonts w:ascii="Trebuchet MS" w:eastAsia="Times New Roman" w:hAnsi="Trebuchet MS" w:cs="Tahoma"/>
                <w:color w:val="000000"/>
                <w:sz w:val="12"/>
                <w:szCs w:val="12"/>
                <w:lang w:eastAsia="es-MX"/>
              </w:rPr>
              <w:t>Morrow</w:t>
            </w:r>
            <w:proofErr w:type="spellEnd"/>
            <w:r w:rsidRPr="0091246D">
              <w:rPr>
                <w:rFonts w:ascii="Trebuchet MS" w:eastAsia="Times New Roman" w:hAnsi="Trebuchet MS" w:cs="Tahoma"/>
                <w:color w:val="000000"/>
                <w:sz w:val="12"/>
                <w:szCs w:val="12"/>
                <w:lang w:eastAsia="es-MX"/>
              </w:rPr>
              <w:t xml:space="preserve"> # 17</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$12,382,073.76</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Jojutla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$5,269,309.99</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las Palmas CVCA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$6,506,494.88</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xml:space="preserve">Inmueble </w:t>
            </w:r>
            <w:proofErr w:type="spellStart"/>
            <w:r w:rsidRPr="0091246D">
              <w:rPr>
                <w:rFonts w:ascii="Trebuchet MS" w:eastAsia="Times New Roman" w:hAnsi="Trebuchet MS" w:cs="Tahoma"/>
                <w:color w:val="000000"/>
                <w:sz w:val="12"/>
                <w:szCs w:val="12"/>
                <w:lang w:eastAsia="es-MX"/>
              </w:rPr>
              <w:t>Jonacatepec</w:t>
            </w:r>
            <w:proofErr w:type="spellEnd"/>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$6,097,368.66</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Cuautla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$17,781,635.76</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Yautepec</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$1,619,063.95</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Zacatepec</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$3,241,307.42</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Inmueble Xochitepec</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$3,310,764.11</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Edificios no residenciales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$4,463,008.02</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xml:space="preserve">Inmueble </w:t>
            </w:r>
            <w:proofErr w:type="spellStart"/>
            <w:r w:rsidRPr="0091246D">
              <w:rPr>
                <w:rFonts w:ascii="Trebuchet MS" w:eastAsia="Times New Roman" w:hAnsi="Trebuchet MS" w:cs="Tahoma"/>
                <w:color w:val="000000"/>
                <w:sz w:val="12"/>
                <w:szCs w:val="12"/>
                <w:lang w:eastAsia="es-MX"/>
              </w:rPr>
              <w:t>Atlacholoaya</w:t>
            </w:r>
            <w:proofErr w:type="spellEnd"/>
            <w:r w:rsidRPr="0091246D">
              <w:rPr>
                <w:rFonts w:ascii="Trebuchet MS" w:eastAsia="Times New Roman" w:hAnsi="Trebuchet MS" w:cs="Tahoma"/>
                <w:color w:val="000000"/>
                <w:sz w:val="12"/>
                <w:szCs w:val="12"/>
                <w:lang w:eastAsia="es-MX"/>
              </w:rPr>
              <w:t xml:space="preserve"> - Obra Transferida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$106,650,177.89</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Muebles de Oficina y Estantería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$24,412,684.20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Muebles, excepto de oficina y estantería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$20,049.44</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Equipo de Cómputo y de Tecnologías de la Información Tribunal Superior de Justicia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Equipo de cómputo y de tecnología de la información</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$76,851,535.92</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Otros mobiliarios y Equipos de Administración</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$1,454,998.83</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Equipos y aparatos audiovisuales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$2,146,199.90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Cámaras fotográficas y de video</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$1,184,159.84</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Otro mobiliario y equipo educacional y recreativo</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$4,737.44</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Automóviles y camiones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$16,164,665.44</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Maquinaria y equipo agropecuario</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$61,613.34</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Sistemas de aire acondicionado</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$186,768.00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Equipo de comunicación y telecomunicación</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$816,139.15</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Equipos de generación eléctrica, aparatos y accesorios eléctricos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$1,422,147.39</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xml:space="preserve">Equipos de generación eléctrica, aparatos y accesorios eléctricos J. </w:t>
            </w:r>
            <w:proofErr w:type="spellStart"/>
            <w:r w:rsidRPr="0091246D">
              <w:rPr>
                <w:rFonts w:ascii="Trebuchet MS" w:eastAsia="Times New Roman" w:hAnsi="Trebuchet MS" w:cs="Tahoma"/>
                <w:color w:val="000000"/>
                <w:sz w:val="12"/>
                <w:szCs w:val="12"/>
                <w:lang w:eastAsia="es-MX"/>
              </w:rPr>
              <w:t>Tradi</w:t>
            </w:r>
            <w:proofErr w:type="spellEnd"/>
            <w:r w:rsidRPr="0091246D">
              <w:rPr>
                <w:rFonts w:ascii="Trebuchet MS" w:eastAsia="Times New Roman" w:hAnsi="Trebuchet MS" w:cs="Tahoma"/>
                <w:color w:val="000000"/>
                <w:sz w:val="12"/>
                <w:szCs w:val="12"/>
                <w:lang w:eastAsia="es-MX"/>
              </w:rPr>
              <w:t xml:space="preserve"> (2013)</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$626,226.00</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Herramientas y máquinas-herramienta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$205,809.42</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Maquinaria Tribunal Superior de Justicia</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$764,812.28</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Otros equipos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$866,998.21</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Software</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$3,905,224.68</w:t>
            </w:r>
          </w:p>
        </w:tc>
      </w:tr>
      <w:tr w:rsidR="0091246D" w:rsidRPr="0091246D" w:rsidTr="006E3A97">
        <w:trPr>
          <w:trHeight w:val="238"/>
        </w:trPr>
        <w:tc>
          <w:tcPr>
            <w:tcW w:w="0" w:type="auto"/>
            <w:tcBorders>
              <w:top w:val="nil"/>
              <w:left w:val="single" w:sz="8" w:space="0" w:color="auto"/>
              <w:bottom w:val="nil"/>
              <w:right w:val="nil"/>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Licencias informáticas e intelectuales</w:t>
            </w:r>
          </w:p>
        </w:tc>
        <w:tc>
          <w:tcPr>
            <w:tcW w:w="0" w:type="auto"/>
            <w:tcBorders>
              <w:top w:val="nil"/>
              <w:left w:val="nil"/>
              <w:bottom w:val="nil"/>
              <w:right w:val="single" w:sz="8" w:space="0" w:color="auto"/>
            </w:tcBorders>
            <w:shd w:val="clear" w:color="000000" w:fill="FFFFFF"/>
            <w:noWrap/>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$1,741,396.69</w:t>
            </w:r>
          </w:p>
        </w:tc>
      </w:tr>
      <w:tr w:rsidR="0091246D" w:rsidRPr="0091246D" w:rsidTr="006E3A97">
        <w:trPr>
          <w:trHeight w:val="119"/>
        </w:trPr>
        <w:tc>
          <w:tcPr>
            <w:tcW w:w="0" w:type="auto"/>
            <w:tcBorders>
              <w:top w:val="nil"/>
              <w:left w:val="single" w:sz="8" w:space="0" w:color="auto"/>
              <w:bottom w:val="single" w:sz="8" w:space="0" w:color="auto"/>
              <w:right w:val="nil"/>
            </w:tcBorders>
            <w:shd w:val="clear" w:color="000000" w:fill="FFFFFF"/>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w:t>
            </w:r>
          </w:p>
        </w:tc>
        <w:tc>
          <w:tcPr>
            <w:tcW w:w="0" w:type="auto"/>
            <w:tcBorders>
              <w:top w:val="nil"/>
              <w:left w:val="nil"/>
              <w:bottom w:val="single" w:sz="8" w:space="0" w:color="auto"/>
              <w:right w:val="single" w:sz="8" w:space="0" w:color="auto"/>
            </w:tcBorders>
            <w:shd w:val="clear" w:color="000000" w:fill="FFFFFF"/>
            <w:hideMark/>
          </w:tcPr>
          <w:p w:rsidR="0091246D" w:rsidRPr="0091246D" w:rsidRDefault="0091246D" w:rsidP="0091246D">
            <w:pPr>
              <w:spacing w:after="0" w:line="240" w:lineRule="auto"/>
              <w:rPr>
                <w:rFonts w:ascii="Trebuchet MS" w:eastAsia="Times New Roman" w:hAnsi="Trebuchet MS" w:cs="Tahoma"/>
                <w:color w:val="000000"/>
                <w:sz w:val="12"/>
                <w:szCs w:val="12"/>
                <w:lang w:eastAsia="es-MX"/>
              </w:rPr>
            </w:pPr>
            <w:r w:rsidRPr="0091246D">
              <w:rPr>
                <w:rFonts w:ascii="Trebuchet MS" w:eastAsia="Times New Roman" w:hAnsi="Trebuchet MS" w:cs="Tahoma"/>
                <w:color w:val="000000"/>
                <w:sz w:val="12"/>
                <w:szCs w:val="12"/>
                <w:lang w:eastAsia="es-MX"/>
              </w:rPr>
              <w:t> </w:t>
            </w:r>
          </w:p>
        </w:tc>
      </w:tr>
    </w:tbl>
    <w:p w:rsidR="0091246D" w:rsidRPr="0091246D" w:rsidRDefault="0091246D" w:rsidP="0091246D">
      <w:pPr>
        <w:spacing w:after="101" w:line="240" w:lineRule="auto"/>
        <w:contextualSpacing/>
        <w:jc w:val="both"/>
        <w:rPr>
          <w:rFonts w:ascii="Trebuchet MS" w:eastAsia="Times New Roman" w:hAnsi="Trebuchet MS" w:cs="Times New Roman"/>
          <w:sz w:val="24"/>
          <w:szCs w:val="24"/>
          <w:lang w:val="es-ES" w:eastAsia="es-ES"/>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r w:rsidRPr="0091246D">
        <w:rPr>
          <w:rFonts w:ascii="Trebuchet MS" w:eastAsia="Calibri" w:hAnsi="Trebuchet MS" w:cs="Times New Roman"/>
          <w:b/>
          <w:sz w:val="24"/>
          <w:szCs w:val="24"/>
        </w:rPr>
        <w:lastRenderedPageBreak/>
        <w:t>23. CONCILIACIÓN DE LOS FLUJOS DE EFECTIVO NETOS DE LAS ACTIVIDADES DE OPERACIÓN  Y LA CUENTA DE AHORRO/DESAHORRO ANTES DE RUBROS EXTRAORDINARIOS</w:t>
      </w:r>
      <w:proofErr w:type="gramStart"/>
      <w:r w:rsidRPr="0091246D">
        <w:rPr>
          <w:rFonts w:ascii="Trebuchet MS" w:eastAsia="Calibri" w:hAnsi="Trebuchet MS" w:cs="Times New Roman"/>
          <w:b/>
          <w:sz w:val="24"/>
          <w:szCs w:val="24"/>
        </w:rPr>
        <w:t>.(</w:t>
      </w:r>
      <w:proofErr w:type="gramEnd"/>
      <w:r w:rsidRPr="0091246D">
        <w:rPr>
          <w:rFonts w:ascii="Trebuchet MS" w:eastAsia="Calibri" w:hAnsi="Trebuchet MS" w:cs="Times New Roman"/>
          <w:b/>
          <w:sz w:val="24"/>
          <w:szCs w:val="24"/>
        </w:rPr>
        <w:t xml:space="preserve"> Sin Información que revelar)</w:t>
      </w: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r w:rsidRPr="0091246D">
        <w:rPr>
          <w:rFonts w:ascii="Trebuchet MS" w:eastAsia="Calibri" w:hAnsi="Trebuchet MS" w:cs="Times New Roman"/>
          <w:b/>
          <w:sz w:val="24"/>
          <w:szCs w:val="24"/>
        </w:rPr>
        <w:t>II.V CONCILIACIÓN ENTRE LOS INGRESOS PRESUPUESTARIOS Y CONTABLES, ASÍ COMO ENTRE LOS EGRESOS PRESUPUESTARIOS Y LOS GASTOS CONTABLES</w:t>
      </w: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p>
    <w:p w:rsidR="0091246D" w:rsidRPr="0091246D" w:rsidRDefault="0091246D" w:rsidP="0091246D">
      <w:pPr>
        <w:spacing w:after="101" w:line="240" w:lineRule="auto"/>
        <w:contextualSpacing/>
        <w:jc w:val="both"/>
        <w:rPr>
          <w:rFonts w:ascii="Trebuchet MS" w:eastAsia="Times New Roman" w:hAnsi="Trebuchet MS" w:cs="Times New Roman"/>
          <w:b/>
          <w:sz w:val="24"/>
          <w:szCs w:val="24"/>
          <w:lang w:val="es-ES" w:eastAsia="es-ES"/>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r w:rsidRPr="0091246D">
        <w:rPr>
          <w:rFonts w:ascii="Trebuchet MS" w:eastAsia="Times New Roman" w:hAnsi="Trebuchet MS" w:cs="Times New Roman"/>
          <w:b/>
          <w:sz w:val="24"/>
          <w:szCs w:val="24"/>
          <w:lang w:val="es-ES" w:eastAsia="es-ES"/>
        </w:rPr>
        <w:t>NOTA 24)</w:t>
      </w:r>
      <w:r w:rsidRPr="0091246D">
        <w:rPr>
          <w:rFonts w:ascii="Trebuchet MS" w:eastAsia="Calibri" w:hAnsi="Trebuchet MS" w:cs="Times New Roman"/>
          <w:b/>
          <w:sz w:val="24"/>
          <w:szCs w:val="24"/>
        </w:rPr>
        <w:t xml:space="preserve"> Conciliación entre los Ingresos Presupuestarios y Contables, así como entre los egresos Presupuestarios y los Gastos Contables:</w:t>
      </w: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p>
    <w:p w:rsidR="0091246D" w:rsidRPr="0091246D" w:rsidRDefault="0091246D" w:rsidP="0091246D">
      <w:pPr>
        <w:spacing w:after="101" w:line="240" w:lineRule="auto"/>
        <w:contextualSpacing/>
        <w:jc w:val="both"/>
        <w:rPr>
          <w:rFonts w:ascii="Trebuchet MS" w:eastAsia="Calibri" w:hAnsi="Trebuchet MS" w:cs="Times New Roman"/>
          <w:b/>
          <w:sz w:val="24"/>
          <w:szCs w:val="24"/>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91246D" w:rsidRPr="0091246D" w:rsidTr="006E3A97">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PODER JUDICIAL DEL ESTADO DE MORELOS - TRIBUNAL SUPERIOR DE JUSTICIA</w:t>
            </w:r>
          </w:p>
        </w:tc>
      </w:tr>
      <w:tr w:rsidR="0091246D" w:rsidRPr="0091246D" w:rsidTr="006E3A9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Conciliación entre los Ingresos Presupuestarios y Contables</w:t>
            </w:r>
          </w:p>
        </w:tc>
      </w:tr>
      <w:tr w:rsidR="0091246D" w:rsidRPr="0091246D" w:rsidTr="006E3A9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Correspondiente del 01 de Enero al 30 de Junio de 2020</w:t>
            </w:r>
          </w:p>
        </w:tc>
      </w:tr>
      <w:tr w:rsidR="0091246D" w:rsidRPr="0091246D" w:rsidTr="006E3A97">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(Cifras en pesos)</w:t>
            </w:r>
          </w:p>
        </w:tc>
      </w:tr>
      <w:tr w:rsidR="0091246D" w:rsidRPr="0091246D" w:rsidTr="006E3A9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336’789,758</w:t>
            </w:r>
          </w:p>
        </w:tc>
      </w:tr>
      <w:tr w:rsidR="0091246D" w:rsidRPr="0091246D" w:rsidTr="006E3A9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721"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r>
      <w:tr w:rsidR="0091246D" w:rsidRPr="0091246D" w:rsidTr="006E3A9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r>
      <w:tr w:rsidR="0091246D" w:rsidRPr="0091246D" w:rsidTr="006E3A9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Otros ingresos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058"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721"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r>
      <w:tr w:rsidR="0091246D" w:rsidRPr="0091246D" w:rsidTr="006E3A9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r>
      <w:tr w:rsidR="0091246D" w:rsidRPr="0091246D" w:rsidTr="006E3A9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0.00</w:t>
            </w:r>
          </w:p>
        </w:tc>
        <w:tc>
          <w:tcPr>
            <w:tcW w:w="172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r>
      <w:tr w:rsidR="0091246D" w:rsidRPr="0091246D" w:rsidTr="006E3A9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058"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p>
        </w:tc>
        <w:tc>
          <w:tcPr>
            <w:tcW w:w="1721"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r>
      <w:tr w:rsidR="0091246D" w:rsidRPr="0091246D" w:rsidTr="006E3A9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20"/>
                <w:szCs w:val="24"/>
                <w:lang w:val="es-ES" w:eastAsia="es-MX"/>
              </w:rPr>
            </w:pPr>
            <w:r w:rsidRPr="0091246D">
              <w:rPr>
                <w:rFonts w:ascii="Trebuchet MS" w:eastAsia="Times New Roman" w:hAnsi="Trebuchet MS" w:cs="Arial"/>
                <w:color w:val="000000"/>
                <w:sz w:val="20"/>
                <w:szCs w:val="24"/>
                <w:lang w:val="es-ES"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20"/>
                <w:szCs w:val="24"/>
                <w:lang w:val="es-ES" w:eastAsia="es-MX"/>
              </w:rPr>
            </w:pPr>
            <w:r w:rsidRPr="0091246D">
              <w:rPr>
                <w:rFonts w:ascii="Trebuchet MS" w:eastAsia="Times New Roman" w:hAnsi="Trebuchet MS" w:cs="Arial"/>
                <w:b/>
                <w:bCs/>
                <w:color w:val="000000"/>
                <w:sz w:val="20"/>
                <w:szCs w:val="24"/>
                <w:lang w:val="es-ES" w:eastAsia="es-MX"/>
              </w:rPr>
              <w:t>336’789,758</w:t>
            </w:r>
          </w:p>
        </w:tc>
      </w:tr>
      <w:tr w:rsidR="0091246D" w:rsidRPr="0091246D" w:rsidTr="006E3A97">
        <w:trPr>
          <w:gridAfter w:val="1"/>
          <w:wAfter w:w="468" w:type="dxa"/>
          <w:trHeight w:val="208"/>
        </w:trPr>
        <w:tc>
          <w:tcPr>
            <w:tcW w:w="1058" w:type="dxa"/>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c>
          <w:tcPr>
            <w:tcW w:w="4111" w:type="dxa"/>
            <w:gridSpan w:val="3"/>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c>
          <w:tcPr>
            <w:tcW w:w="1058" w:type="dxa"/>
            <w:gridSpan w:val="2"/>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c>
          <w:tcPr>
            <w:tcW w:w="1721" w:type="dxa"/>
            <w:gridSpan w:val="2"/>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r>
      <w:tr w:rsidR="0091246D" w:rsidRPr="0091246D" w:rsidTr="006E3A97">
        <w:trPr>
          <w:gridAfter w:val="1"/>
          <w:wAfter w:w="468" w:type="dxa"/>
          <w:trHeight w:val="208"/>
        </w:trPr>
        <w:tc>
          <w:tcPr>
            <w:tcW w:w="1058" w:type="dxa"/>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c>
          <w:tcPr>
            <w:tcW w:w="4111" w:type="dxa"/>
            <w:gridSpan w:val="3"/>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c>
          <w:tcPr>
            <w:tcW w:w="1058" w:type="dxa"/>
            <w:gridSpan w:val="2"/>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c>
          <w:tcPr>
            <w:tcW w:w="1721" w:type="dxa"/>
            <w:gridSpan w:val="2"/>
            <w:tcBorders>
              <w:top w:val="nil"/>
              <w:left w:val="nil"/>
              <w:bottom w:val="nil"/>
              <w:right w:val="nil"/>
            </w:tcBorders>
            <w:shd w:val="clear" w:color="auto" w:fill="auto"/>
            <w:noWrap/>
            <w:vAlign w:val="bottom"/>
          </w:tcPr>
          <w:p w:rsidR="0091246D" w:rsidRPr="0091246D" w:rsidRDefault="0091246D" w:rsidP="0091246D">
            <w:pPr>
              <w:spacing w:after="0" w:line="240" w:lineRule="auto"/>
              <w:contextualSpacing/>
              <w:rPr>
                <w:rFonts w:ascii="Trebuchet MS" w:eastAsia="Times New Roman" w:hAnsi="Trebuchet MS" w:cs="Calibri"/>
                <w:color w:val="000000"/>
                <w:sz w:val="20"/>
                <w:szCs w:val="24"/>
                <w:lang w:val="es-ES" w:eastAsia="es-MX"/>
              </w:rPr>
            </w:pPr>
          </w:p>
        </w:tc>
      </w:tr>
      <w:tr w:rsidR="0091246D" w:rsidRPr="0091246D" w:rsidTr="006E3A97">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PODER JUDICIAL DEL ESTADO DE MORELOS - TRIBUNAL SUPERIOR DE JUSTICIA</w:t>
            </w:r>
          </w:p>
        </w:tc>
      </w:tr>
      <w:tr w:rsidR="0091246D" w:rsidRPr="0091246D" w:rsidTr="006E3A97">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Conciliación entre los Egresos Presupuestarios y los Gastos Contables</w:t>
            </w:r>
          </w:p>
        </w:tc>
      </w:tr>
      <w:tr w:rsidR="0091246D" w:rsidRPr="0091246D" w:rsidTr="006E3A97">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Correspondiente del 01 de Enero al 30 de Junio de 2020</w:t>
            </w:r>
          </w:p>
        </w:tc>
      </w:tr>
      <w:tr w:rsidR="0091246D" w:rsidRPr="0091246D" w:rsidTr="006E3A9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 xml:space="preserve">338,317,102 </w:t>
            </w:r>
          </w:p>
        </w:tc>
      </w:tr>
      <w:tr w:rsidR="0091246D" w:rsidRPr="0091246D" w:rsidTr="006E3A9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751"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r>
      <w:tr w:rsidR="0091246D" w:rsidRPr="0091246D" w:rsidTr="006E3A9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 xml:space="preserve">520,846 </w:t>
            </w: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520,846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0.00</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lastRenderedPageBreak/>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p>
        </w:tc>
        <w:tc>
          <w:tcPr>
            <w:tcW w:w="1379"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751"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p>
        </w:tc>
      </w:tr>
      <w:tr w:rsidR="0091246D" w:rsidRPr="0091246D" w:rsidTr="006E3A9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4’142,380</w:t>
            </w:r>
          </w:p>
        </w:tc>
      </w:tr>
      <w:tr w:rsidR="0091246D" w:rsidRPr="0091246D" w:rsidTr="006E3A9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4’142,380</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p>
        </w:tc>
        <w:tc>
          <w:tcPr>
            <w:tcW w:w="1751" w:type="dxa"/>
            <w:gridSpan w:val="2"/>
            <w:tcBorders>
              <w:top w:val="nil"/>
              <w:left w:val="nil"/>
              <w:bottom w:val="nil"/>
              <w:right w:val="nil"/>
            </w:tcBorders>
            <w:shd w:val="clear" w:color="auto" w:fill="auto"/>
            <w:vAlign w:val="center"/>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xml:space="preserve">0.00 </w:t>
            </w:r>
          </w:p>
        </w:tc>
        <w:tc>
          <w:tcPr>
            <w:tcW w:w="1751"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rPr>
                <w:rFonts w:ascii="Trebuchet MS" w:eastAsia="Times New Roman" w:hAnsi="Trebuchet MS" w:cs="Times New Roman"/>
                <w:color w:val="000000"/>
                <w:sz w:val="14"/>
                <w:szCs w:val="18"/>
                <w:lang w:val="es-ES" w:eastAsia="es-MX"/>
              </w:rPr>
            </w:pPr>
          </w:p>
        </w:tc>
      </w:tr>
      <w:tr w:rsidR="0091246D" w:rsidRPr="0091246D" w:rsidTr="006E3A9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379" w:type="dxa"/>
            <w:gridSpan w:val="2"/>
            <w:tcBorders>
              <w:top w:val="nil"/>
              <w:left w:val="nil"/>
              <w:bottom w:val="nil"/>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p>
        </w:tc>
        <w:tc>
          <w:tcPr>
            <w:tcW w:w="1751" w:type="dxa"/>
            <w:gridSpan w:val="2"/>
            <w:tcBorders>
              <w:top w:val="nil"/>
              <w:left w:val="nil"/>
              <w:bottom w:val="single" w:sz="8" w:space="0" w:color="auto"/>
              <w:right w:val="nil"/>
            </w:tcBorders>
            <w:shd w:val="clear" w:color="auto" w:fill="auto"/>
            <w:vAlign w:val="center"/>
            <w:hideMark/>
          </w:tcPr>
          <w:p w:rsidR="0091246D" w:rsidRPr="0091246D" w:rsidRDefault="0091246D" w:rsidP="0091246D">
            <w:pPr>
              <w:spacing w:after="0" w:line="240" w:lineRule="auto"/>
              <w:contextualSpacing/>
              <w:jc w:val="center"/>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r>
      <w:tr w:rsidR="0091246D" w:rsidRPr="0091246D" w:rsidTr="006E3A9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91246D" w:rsidRPr="0091246D" w:rsidRDefault="0091246D" w:rsidP="0091246D">
            <w:pPr>
              <w:spacing w:after="0" w:line="240" w:lineRule="auto"/>
              <w:contextualSpacing/>
              <w:jc w:val="both"/>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91246D" w:rsidRPr="0091246D" w:rsidRDefault="0091246D" w:rsidP="0091246D">
            <w:pPr>
              <w:spacing w:after="0" w:line="240" w:lineRule="auto"/>
              <w:contextualSpacing/>
              <w:jc w:val="both"/>
              <w:rPr>
                <w:rFonts w:ascii="Trebuchet MS" w:eastAsia="Times New Roman" w:hAnsi="Trebuchet MS" w:cs="Arial"/>
                <w:color w:val="000000"/>
                <w:sz w:val="14"/>
                <w:szCs w:val="18"/>
                <w:lang w:val="es-ES" w:eastAsia="es-MX"/>
              </w:rPr>
            </w:pPr>
            <w:r w:rsidRPr="0091246D">
              <w:rPr>
                <w:rFonts w:ascii="Trebuchet MS" w:eastAsia="Times New Roman" w:hAnsi="Trebuchet MS" w:cs="Arial"/>
                <w:color w:val="000000"/>
                <w:sz w:val="14"/>
                <w:szCs w:val="18"/>
                <w:lang w:val="es-ES"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91246D" w:rsidRPr="0091246D" w:rsidRDefault="0091246D" w:rsidP="0091246D">
            <w:pPr>
              <w:spacing w:after="0" w:line="240" w:lineRule="auto"/>
              <w:contextualSpacing/>
              <w:jc w:val="center"/>
              <w:rPr>
                <w:rFonts w:ascii="Trebuchet MS" w:eastAsia="Times New Roman" w:hAnsi="Trebuchet MS" w:cs="Arial"/>
                <w:b/>
                <w:bCs/>
                <w:color w:val="000000"/>
                <w:sz w:val="14"/>
                <w:szCs w:val="18"/>
                <w:lang w:val="es-ES" w:eastAsia="es-MX"/>
              </w:rPr>
            </w:pPr>
            <w:r w:rsidRPr="0091246D">
              <w:rPr>
                <w:rFonts w:ascii="Trebuchet MS" w:eastAsia="Times New Roman" w:hAnsi="Trebuchet MS" w:cs="Arial"/>
                <w:b/>
                <w:bCs/>
                <w:color w:val="000000"/>
                <w:sz w:val="14"/>
                <w:szCs w:val="18"/>
                <w:lang w:val="es-ES" w:eastAsia="es-MX"/>
              </w:rPr>
              <w:t>341’938,636</w:t>
            </w:r>
          </w:p>
        </w:tc>
      </w:tr>
    </w:tbl>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B)  NOTAS DE MEMORIA (CUENTAS DE ORDEN)</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En este apartado lo que podemos mencionar son las demandas judiciales en proceso de Resolución que en el ejercicio 2019 fue de $18’559,000 debido a que su registro es al final del ejercicio que se trate.</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C) NOTAS DE GESTIÓN ADMINISTRATIVA</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1. INTRODUCCIÓN</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Los Estados Financieros del H. Tribunal Superior de Justicia, proveen de información financiera a los principales usuarios de la misma, al congreso y a los ciudadanos.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2. PANORAMA ECONÓMICO Y FINANCIERO</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El H. Tribunal Superior de Justicia envió su anteproyecto de presupuesto al Poder Ejecutivo para su inclusión en el paquete económico 2020, considerando inicialmente la cantidad de $1,329,108,940 (un mil trescientos veintinueve millones ciento ocho </w:t>
      </w:r>
      <w:r w:rsidRPr="0091246D">
        <w:rPr>
          <w:rFonts w:ascii="Trebuchet MS" w:eastAsia="Times New Roman" w:hAnsi="Trebuchet MS" w:cs="Times New Roman"/>
          <w:sz w:val="24"/>
          <w:szCs w:val="24"/>
          <w:lang w:val="es-ES" w:eastAsia="es-ES"/>
        </w:rPr>
        <w:lastRenderedPageBreak/>
        <w:t xml:space="preserve">mil novecientos cuarenta pesos), cifra que no se autorizó en su totalidad, situación que obliga a realizar ajustes a las metas, contemplando únicamente las necesidades indispensables para la debida operación de la institución, en lo que es su propósito principal: impartir justicia.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El monto del presupuesto autorizado para el ejercicio 2020 es de $524’034,000 (quinientos veinticuatro millones treinta y cuatro mil pesos), de los cuales $70’000,000 (setenta millones de pesos), se etiquetaron para pago de decretos pensionarios controvertidos ante la Suprema Corte de Justicia de la Nación y $1’600,000 (un millón seiscientos mil pesos), como apoyo para despensa de sindicalizados, quedando tan solo $452’434,000 (cuatrocientos cincuenta y dos millones cuatrocientos treinta y cuatro mil pesos), para la operación del Tribunal. Cabe mencionar  que se difirió el gasto del ejercicio 2019 por una cantidad de $94’370,946 (noventa y cuatro millones trescientos setenta mil novecientos cuarenta y seis pesos), con cargo al presupuesto del 2020.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Por lo que el panorama para las finanzas de la institución se complica aún más pues de los $1’329</w:t>
      </w:r>
      <w:proofErr w:type="gramStart"/>
      <w:r w:rsidRPr="0091246D">
        <w:rPr>
          <w:rFonts w:ascii="Trebuchet MS" w:eastAsia="Times New Roman" w:hAnsi="Trebuchet MS" w:cs="Times New Roman"/>
          <w:sz w:val="24"/>
          <w:szCs w:val="24"/>
          <w:lang w:val="es-ES" w:eastAsia="es-ES"/>
        </w:rPr>
        <w:t>,108,940</w:t>
      </w:r>
      <w:proofErr w:type="gramEnd"/>
      <w:r w:rsidRPr="0091246D">
        <w:rPr>
          <w:rFonts w:ascii="Trebuchet MS" w:eastAsia="Times New Roman" w:hAnsi="Trebuchet MS" w:cs="Times New Roman"/>
          <w:sz w:val="24"/>
          <w:szCs w:val="24"/>
          <w:lang w:val="es-ES" w:eastAsia="es-ES"/>
        </w:rPr>
        <w:t xml:space="preserve"> (un mil trescientos veintinueve millones ciento ocho mil novecientos cuarenta pesos), solicitados en el Anteproyecto de Presupuesto para el año 2020, el Congreso del Estado asignó únicamente $524,034,000 (quinientos veinticuatro millones treinta y cuatro mil pesos).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3. AUTORIZACIÓN E HISTORIA</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La Ley que crea el H. Tribunal Superior de Justicia como entidad independiente con personalidad jurídica y patrimonio propios, se publicó en el Periódico Oficial del Estado  número 3739, 6ª época, el 12 de abril de 1995,  la cual se regía en su Administración por el entonces Consejo de la Judicatura del Estado, y en la actualidad por la Junta de Administración, Vigilancia y Disciplina.</w:t>
      </w: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4. ORGANIZACIÓN Y OBJETO SOCIAL</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El propósito del H. Tribunal Superior de Justicia es la Impartición de Justicia en el Estado de Morelos,  por lo que presta sus servicios en la resolución de conflictos a la ciudadanía morelense, estando obligada la institución a contribuir en materia de seguridad social y retenedor de impuestos federales; considerando el recorte al presupuesto entre los presentado como proyecto y lo finalmente autorizado por los poderes Ejecutivo y Legislativo.</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5. BASES DE PREPARACIÓN DE LOS ESTADOS FINANCIEROS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Características del Sistema de Contabilidad Gubernamental (SCG)</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Con el propósito de llevar a cabo la implementación de la armonización contable en el H. Tribunal Superior de Justicia y toda vez que el CONAC, dentro de la normatividad emitida por ese órgano colegiado, no contempló la distribución de la herramienta </w:t>
      </w:r>
      <w:r w:rsidRPr="0091246D">
        <w:rPr>
          <w:rFonts w:ascii="Trebuchet MS" w:eastAsia="Times New Roman" w:hAnsi="Trebuchet MS" w:cs="Times New Roman"/>
          <w:sz w:val="24"/>
          <w:szCs w:val="24"/>
          <w:lang w:val="es-ES" w:eastAsia="es-ES"/>
        </w:rPr>
        <w:lastRenderedPageBreak/>
        <w:t xml:space="preserve">tecnológica que permitiera a los entes públicos cumplir con lo requerido en la Ley General de Contabilidad y además de que el software implementado para 2012 cumplió parcialmente con las expectativas requeridas para la armonización contable de la institución, toda vez que generó inconsistencias documentadas durante su operación, por lo que a partir del ejercicio 2013, el entonces Consejo de la Judicatura del Estado tuvo a bien autorizar la adquisición e implementación del sistema informático denominado SACG, para el ejercicio 2020, se adquiere la versión SAACG.NET actualmente en su versión 1.9.1.1 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6. POLÍTICAS DE CONTABILIDAD SIGNIFICATIVAS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Para el presente ejercicio se implementaron procesos de mejora así la aplicación de medidas de austeridad y disciplina presupuestaria que han permitido generar ahorros  para ampliar metas del Programa operativo Anual 2020 y cumplir con el propósito institucional de impartir justicia en materia oral y justicia tradicional.</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7. POSICIÓN EN MONEDA EXTRANJERA Y PROTECCIÓN POR RIESGO CAMBIARIO (sin información que revelar)</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8.  REPORTE ANALITÍCO DEL ACTIVO</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Pr>
          <w:rFonts w:ascii="Times New Roman" w:eastAsia="Times New Roman" w:hAnsi="Times New Roman" w:cs="Times New Roman"/>
          <w:noProof/>
          <w:sz w:val="20"/>
          <w:szCs w:val="20"/>
          <w:lang w:eastAsia="es-MX"/>
        </w:rPr>
        <w:drawing>
          <wp:inline distT="0" distB="0" distL="0" distR="0">
            <wp:extent cx="5603163" cy="393404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40" cy="3934100"/>
                    </a:xfrm>
                    <a:prstGeom prst="rect">
                      <a:avLst/>
                    </a:prstGeom>
                    <a:noFill/>
                    <a:ln>
                      <a:noFill/>
                    </a:ln>
                  </pic:spPr>
                </pic:pic>
              </a:graphicData>
            </a:graphic>
          </wp:inline>
        </w:drawing>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imes New Roman" w:eastAsia="Times New Roman" w:hAnsi="Times New Roman" w:cs="Times New Roman"/>
          <w:noProof/>
          <w:sz w:val="20"/>
          <w:szCs w:val="20"/>
          <w:lang w:eastAsia="es-MX"/>
        </w:rPr>
        <w:lastRenderedPageBreak/>
        <w:t xml:space="preserve">               </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9. FIDEICOMISOS, MANDATOS Y ANÁLOGOS (sin información que revelar)</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10. REPORTE DE LA RECAUDACIÓN</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El reporte muestra debidamente el presupuesto devengado que corresponde a los gastos reflejados en balanza y estados financieros en cada una de las partidas.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ind w:left="1416" w:firstLine="708"/>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ind w:left="1416" w:firstLine="708"/>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Presupuesto Modificado</w:t>
      </w:r>
      <w:r w:rsidRPr="0091246D">
        <w:rPr>
          <w:rFonts w:ascii="Trebuchet MS" w:eastAsia="Times New Roman" w:hAnsi="Trebuchet MS" w:cs="Times New Roman"/>
          <w:sz w:val="24"/>
          <w:szCs w:val="24"/>
          <w:lang w:val="es-ES" w:eastAsia="es-ES"/>
        </w:rPr>
        <w:tab/>
        <w:t>$527’473,762</w:t>
      </w:r>
      <w:r w:rsidRPr="0091246D">
        <w:rPr>
          <w:rFonts w:ascii="Trebuchet MS" w:eastAsia="Times New Roman" w:hAnsi="Trebuchet MS" w:cs="Times New Roman"/>
          <w:sz w:val="24"/>
          <w:szCs w:val="24"/>
          <w:lang w:val="es-ES" w:eastAsia="es-ES"/>
        </w:rPr>
        <w:tab/>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t>Presupuesto Devengado</w:t>
      </w:r>
      <w:r w:rsidRPr="0091246D">
        <w:rPr>
          <w:rFonts w:ascii="Trebuchet MS" w:eastAsia="Times New Roman" w:hAnsi="Trebuchet MS" w:cs="Times New Roman"/>
          <w:sz w:val="24"/>
          <w:szCs w:val="24"/>
          <w:lang w:val="es-ES" w:eastAsia="es-ES"/>
        </w:rPr>
        <w:tab/>
        <w:t>$338’317,102</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Estado Analítico de Ingresos Presupuestales</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La integración de las transferencias por concepto, tal y como fueron aprobadas por parte del Congreso del Estado se integran conforme a lo siguiente:</w:t>
      </w:r>
    </w:p>
    <w:p w:rsidR="0091246D" w:rsidRPr="0091246D" w:rsidRDefault="0091246D" w:rsidP="0091246D">
      <w:pPr>
        <w:spacing w:after="0" w:line="240" w:lineRule="auto"/>
        <w:contextualSpacing/>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contextualSpacing/>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Ley de Ingresos Modificada</w:t>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t>$ 527’473,762</w:t>
      </w:r>
    </w:p>
    <w:p w:rsidR="0091246D" w:rsidRPr="0091246D" w:rsidRDefault="0091246D" w:rsidP="0091246D">
      <w:pPr>
        <w:spacing w:after="0" w:line="240" w:lineRule="auto"/>
        <w:contextualSpacing/>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Ingresos Recaudados</w:t>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t>$ 336’789,758</w:t>
      </w:r>
      <w:r w:rsidRPr="0091246D">
        <w:rPr>
          <w:rFonts w:ascii="Trebuchet MS" w:eastAsia="Times New Roman" w:hAnsi="Trebuchet MS" w:cs="Times New Roman"/>
          <w:sz w:val="24"/>
          <w:szCs w:val="24"/>
          <w:lang w:val="es-ES" w:eastAsia="es-ES"/>
        </w:rPr>
        <w:tab/>
      </w:r>
      <w:r w:rsidRPr="0091246D">
        <w:rPr>
          <w:rFonts w:ascii="Trebuchet MS" w:eastAsia="Times New Roman" w:hAnsi="Trebuchet MS" w:cs="Times New Roman"/>
          <w:sz w:val="24"/>
          <w:szCs w:val="24"/>
          <w:lang w:val="es-ES" w:eastAsia="es-ES"/>
        </w:rPr>
        <w:tab/>
      </w:r>
    </w:p>
    <w:p w:rsidR="0091246D" w:rsidRPr="0091246D" w:rsidRDefault="0091246D" w:rsidP="0091246D">
      <w:pPr>
        <w:spacing w:after="0" w:line="240" w:lineRule="auto"/>
        <w:contextualSpacing/>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Los ingresos recaudados representan el 63.84%, con respecto al presupuesto autorizado y modificado para el H. Tribunal Superior de Justicia en el ejercicio 2020.</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11. INFORMACIÓN SOBRE LA DEUDA Y EL REPORTE ANALÍTICO DE LA DEUDA (sin información que revelar)</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12. CALIFICACIONES OTORGADAS (sin información que revelar)</w:t>
      </w: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b/>
          <w:sz w:val="24"/>
          <w:szCs w:val="24"/>
          <w:lang w:val="es-ES" w:eastAsia="es-ES"/>
        </w:rPr>
      </w:pPr>
      <w:r w:rsidRPr="0091246D">
        <w:rPr>
          <w:rFonts w:ascii="Trebuchet MS" w:eastAsia="Times New Roman" w:hAnsi="Trebuchet MS" w:cs="Times New Roman"/>
          <w:b/>
          <w:sz w:val="24"/>
          <w:szCs w:val="24"/>
          <w:lang w:val="es-ES" w:eastAsia="es-ES"/>
        </w:rPr>
        <w:t>13. PROCESO DE MEJORA</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Al cierre de la presente </w:t>
      </w:r>
      <w:r w:rsidRPr="0091246D">
        <w:rPr>
          <w:rFonts w:ascii="Trebuchet MS" w:eastAsia="Times New Roman" w:hAnsi="Trebuchet MS" w:cs="Times New Roman"/>
          <w:spacing w:val="-4"/>
          <w:sz w:val="24"/>
          <w:szCs w:val="24"/>
          <w:lang w:val="es-ES" w:eastAsia="es-ES"/>
        </w:rPr>
        <w:t>Cuenta Pública del Segundo Trimestre  2020,</w:t>
      </w:r>
      <w:r w:rsidRPr="0091246D">
        <w:rPr>
          <w:rFonts w:ascii="Trebuchet MS" w:eastAsia="Times New Roman" w:hAnsi="Trebuchet MS" w:cs="Times New Roman"/>
          <w:sz w:val="24"/>
          <w:szCs w:val="24"/>
          <w:lang w:val="es-ES" w:eastAsia="es-ES"/>
        </w:rPr>
        <w:t xml:space="preserve"> con la participación de la Dirección de Contraloría, se encuentra el proceso de actualización y autorización, la normatividad interna que regula las operaciones del H. Tribunal Superior de Justicia, así como indicadores de desempeño operativo y financiero que permitan evaluar las metas propuestas en los Programas Operativos Anuales de la Institución.</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Por ultimo cabe mencionar que a la fecha el INDETEC ha desarrollado un nuevo sistema de contabilidad gubernamental, una aplicación más robusta para soportar mayor número de operaciones, para facilitar e integrar sus operaciones presupuestales, administrativas, contables y financieras, construyendo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 xml:space="preserve">Automáticamente la contabilidad con un enfoque de gestión en el proceso de armonización de las operaciones de los entes públicos el cual denomina como </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lastRenderedPageBreak/>
        <w:t>SAACG.NET (Sistema Automatizado de Administración y Contabilidad Gubernamental .NET) dicho sistema cuenta con las ultimas adecuaciones que se han hecho en materia de Ley General de Contabilidad Gubernamental, el cual se encuentra actualmente en operación en nuestra entidad.</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14. INFORMACIÓN POR SEGMENTOS: (sin información que revelar)</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15. EVENTOS POSTERIORES AL CIERRE: (sin información que revelar)</w:t>
      </w: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p>
    <w:p w:rsidR="0091246D" w:rsidRPr="0091246D" w:rsidRDefault="0091246D" w:rsidP="0091246D">
      <w:pPr>
        <w:spacing w:after="0" w:line="240" w:lineRule="auto"/>
        <w:jc w:val="both"/>
        <w:rPr>
          <w:rFonts w:ascii="Trebuchet MS" w:eastAsia="Times New Roman" w:hAnsi="Trebuchet MS" w:cs="Times New Roman"/>
          <w:sz w:val="24"/>
          <w:szCs w:val="24"/>
          <w:lang w:val="es-ES" w:eastAsia="es-ES"/>
        </w:rPr>
      </w:pPr>
      <w:r w:rsidRPr="0091246D">
        <w:rPr>
          <w:rFonts w:ascii="Trebuchet MS" w:eastAsia="Times New Roman" w:hAnsi="Trebuchet MS" w:cs="Times New Roman"/>
          <w:sz w:val="24"/>
          <w:szCs w:val="24"/>
          <w:lang w:val="es-ES" w:eastAsia="es-ES"/>
        </w:rPr>
        <w:t>16. PARTES RELACIONADAS: (sin información que revelar)</w:t>
      </w:r>
    </w:p>
    <w:p w:rsidR="00903EB8" w:rsidRDefault="00903EB8" w:rsidP="0091246D">
      <w:pPr>
        <w:pStyle w:val="Ttulo"/>
        <w:jc w:val="both"/>
        <w:rPr>
          <w:rFonts w:ascii="Trebuchet MS" w:hAnsi="Trebuchet MS"/>
          <w:sz w:val="24"/>
          <w:szCs w:val="24"/>
        </w:rPr>
      </w:pPr>
    </w:p>
    <w:tbl>
      <w:tblPr>
        <w:tblW w:w="9307" w:type="dxa"/>
        <w:tblInd w:w="55" w:type="dxa"/>
        <w:tblCellMar>
          <w:left w:w="70" w:type="dxa"/>
          <w:right w:w="70" w:type="dxa"/>
        </w:tblCellMar>
        <w:tblLook w:val="04A0" w:firstRow="1" w:lastRow="0" w:firstColumn="1" w:lastColumn="0" w:noHBand="0" w:noVBand="1"/>
      </w:tblPr>
      <w:tblGrid>
        <w:gridCol w:w="9307"/>
      </w:tblGrid>
      <w:tr w:rsidR="00903EB8" w:rsidRPr="00992FF9" w:rsidTr="00CB38E4">
        <w:trPr>
          <w:trHeight w:val="308"/>
        </w:trPr>
        <w:tc>
          <w:tcPr>
            <w:tcW w:w="9307" w:type="dxa"/>
            <w:tcBorders>
              <w:top w:val="nil"/>
              <w:left w:val="nil"/>
              <w:bottom w:val="nil"/>
              <w:right w:val="nil"/>
            </w:tcBorders>
            <w:shd w:val="clear" w:color="000000" w:fill="FFFFFF"/>
            <w:noWrap/>
          </w:tcPr>
          <w:p w:rsidR="00DF0E25" w:rsidRPr="00992FF9" w:rsidRDefault="00DF0E25" w:rsidP="00382FCC">
            <w:pPr>
              <w:contextualSpacing/>
              <w:rPr>
                <w:rFonts w:ascii="Trebuchet MS" w:hAnsi="Trebuchet MS"/>
                <w:sz w:val="16"/>
                <w:szCs w:val="24"/>
              </w:rPr>
            </w:pPr>
          </w:p>
        </w:tc>
      </w:tr>
    </w:tbl>
    <w:p w:rsidR="00540418" w:rsidRPr="000A1D15" w:rsidRDefault="00540418" w:rsidP="00CB38E4">
      <w:pPr>
        <w:spacing w:after="0" w:line="240" w:lineRule="auto"/>
        <w:jc w:val="center"/>
        <w:rPr>
          <w:rFonts w:ascii="Trebuchet MS" w:hAnsi="Trebuchet MS"/>
          <w:sz w:val="24"/>
          <w:szCs w:val="24"/>
        </w:rPr>
      </w:pPr>
      <w:bookmarkStart w:id="0" w:name="_GoBack"/>
      <w:bookmarkEnd w:id="0"/>
    </w:p>
    <w:sectPr w:rsidR="00540418" w:rsidRPr="000A1D15" w:rsidSect="00E44E62">
      <w:headerReference w:type="even" r:id="rId11"/>
      <w:headerReference w:type="default" r:id="rId12"/>
      <w:footerReference w:type="even" r:id="rId13"/>
      <w:footerReference w:type="default" r:id="rId14"/>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2A" w:rsidRDefault="00C5542A" w:rsidP="00EA5418">
      <w:pPr>
        <w:spacing w:after="0" w:line="240" w:lineRule="auto"/>
      </w:pPr>
      <w:r>
        <w:separator/>
      </w:r>
    </w:p>
  </w:endnote>
  <w:endnote w:type="continuationSeparator" w:id="0">
    <w:p w:rsidR="00C5542A" w:rsidRDefault="00C5542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728DC9B" wp14:editId="45A3E77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 xml:space="preserve"> </w:t>
    </w:r>
  </w:p>
  <w:p w:rsidR="00E17021" w:rsidRDefault="00E170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8E3652" w:rsidRDefault="00E1702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BF4CE06" wp14:editId="3990A2AF">
              <wp:simplePos x="0" y="0"/>
              <wp:positionH relativeFrom="column">
                <wp:posOffset>-947553</wp:posOffset>
              </wp:positionH>
              <wp:positionV relativeFrom="paragraph">
                <wp:posOffset>23066</wp:posOffset>
              </wp:positionV>
              <wp:extent cx="10084279" cy="16510"/>
              <wp:effectExtent l="0" t="0" r="12700" b="21590"/>
              <wp:wrapNone/>
              <wp:docPr id="5" name="5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pt,1.8pt" to="71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" strokecolor="#4579b8 [3044]"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2A" w:rsidRDefault="00C5542A" w:rsidP="00EA5418">
      <w:pPr>
        <w:spacing w:after="0" w:line="240" w:lineRule="auto"/>
      </w:pPr>
      <w:r>
        <w:separator/>
      </w:r>
    </w:p>
  </w:footnote>
  <w:footnote w:type="continuationSeparator" w:id="0">
    <w:p w:rsidR="00C5542A" w:rsidRDefault="00C5542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E17021">
    <w:pPr>
      <w:pStyle w:val="Encabezado"/>
    </w:pPr>
    <w:r>
      <w:rPr>
        <w:noProof/>
        <w:lang w:eastAsia="es-MX"/>
      </w:rPr>
      <mc:AlternateContent>
        <mc:Choice Requires="wpg">
          <w:drawing>
            <wp:anchor distT="0" distB="0" distL="114300" distR="114300" simplePos="0" relativeHeight="251665408" behindDoc="0" locked="0" layoutInCell="1" allowOverlap="1" wp14:anchorId="153FA81C" wp14:editId="4620F285">
              <wp:simplePos x="0" y="0"/>
              <wp:positionH relativeFrom="column">
                <wp:posOffset>2190307</wp:posOffset>
              </wp:positionH>
              <wp:positionV relativeFrom="paragraph">
                <wp:posOffset>-269462</wp:posOffset>
              </wp:positionV>
              <wp:extent cx="3926205" cy="637954"/>
              <wp:effectExtent l="0" t="0" r="0" b="0"/>
              <wp:wrapNone/>
              <wp:docPr id="6" name="6 Grupo"/>
              <wp:cNvGraphicFramePr/>
              <a:graphic xmlns:a="http://schemas.openxmlformats.org/drawingml/2006/main">
                <a:graphicData uri="http://schemas.microsoft.com/office/word/2010/wordprocessingGroup">
                  <wpg:wgp>
                    <wpg:cNvGrpSpPr/>
                    <wpg:grpSpPr>
                      <a:xfrm>
                        <a:off x="0" y="0"/>
                        <a:ext cx="3926205" cy="637954"/>
                        <a:chOff x="-754083" y="-102697"/>
                        <a:chExt cx="3926466" cy="880274"/>
                      </a:xfrm>
                    </wpg:grpSpPr>
                    <wps:wsp>
                      <wps:cNvPr id="1" name="Cuadro de texto 5"/>
                      <wps:cNvSpPr txBox="1">
                        <a:spLocks noChangeArrowheads="1"/>
                      </wps:cNvSpPr>
                      <wps:spPr bwMode="auto">
                        <a:xfrm>
                          <a:off x="-754083" y="-102697"/>
                          <a:ext cx="3042324" cy="88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EB8"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r w:rsidR="005873F9">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 xml:space="preserve">TRIBUNAL SUPERIOR DE JUSTICIA </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765EC8">
                              <w:rPr>
                                <w:rFonts w:ascii="Soberana Titular" w:hAnsi="Soberana Titular" w:cs="Arial"/>
                                <w:color w:val="808080" w:themeColor="background1" w:themeShade="80"/>
                                <w:sz w:val="16"/>
                                <w:szCs w:val="16"/>
                              </w:rPr>
                              <w:t>JUNIO</w:t>
                            </w:r>
                          </w:p>
                        </w:txbxContent>
                      </wps:txbx>
                      <wps:bodyPr rot="0" vert="horz" wrap="square" lIns="91440" tIns="45720" rIns="91440" bIns="45720" anchor="t" anchorCtr="0" upright="1">
                        <a:noAutofit/>
                      </wps:bodyPr>
                    </wps:wsp>
                    <wpg:grpSp>
                      <wpg:cNvPr id="2" name="9 Grupo"/>
                      <wpg:cNvGrpSpPr/>
                      <wpg:grpSpPr>
                        <a:xfrm>
                          <a:off x="2289656" y="0"/>
                          <a:ext cx="882727" cy="595920"/>
                          <a:chOff x="-1" y="0"/>
                          <a:chExt cx="882727" cy="595920"/>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1" y="0"/>
                            <a:ext cx="131306" cy="595920"/>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131305" y="21919"/>
                            <a:ext cx="751421" cy="57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03EB8">
                                <w:rPr>
                                  <w:rFonts w:ascii="Soberana Titular" w:hAnsi="Soberana Titular" w:cs="Arial"/>
                                  <w:color w:val="808080" w:themeColor="background1" w:themeShade="80"/>
                                  <w:sz w:val="42"/>
                                  <w:szCs w:val="42"/>
                                </w:rPr>
                                <w:t>20</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6 Grupo" o:spid="_x0000_s1026" style="position:absolute;margin-left:172.45pt;margin-top:-21.2pt;width:309.15pt;height:50.25pt;z-index:251665408;mso-width-relative:margin;mso-height-relative:margin" coordorigin="-7540,-1026" coordsize="39264,8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5W0t3kb7qAsce&#10;g5rgf2Yf2mfDf7W3wf07xx4TGof2HqkkscH22HyZsxuUbK5OPmU96nmV+XqZSrU1UVJv3mm0urSt&#10;d/K6+89Coooqj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Q39sbyy&#10;liVtpkQrk9sjFeL/APBPT9kq6/Yl/Zb0P4d32tW/iC40ea5lN7Dbm3STzZmkxsLMRjdjrXt1FHmd&#10;1PMsRTwdTARf7upKEpKy1lBTUXfdWU5aLR312QUUUU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fixvb+9Rvb+9SY9qMe1Bm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B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">
              <v:shapetype id="_x0000_t202" coordsize="21600,21600" o:spt="202" path="m,l,21600r21600,l21600,xe">
                <v:stroke joinstyle="miter"/>
                <v:path gradientshapeok="t" o:connecttype="rect"/>
              </v:shapetype>
              <v:shape id="Cuadro de texto 5" o:spid="_x0000_s1027" type="#_x0000_t202" style="position:absolute;left:-7540;top:-1026;width:30422;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03EB8"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r w:rsidR="005873F9">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 xml:space="preserve">TRIBUNAL SUPERIOR DE JUSTICIA </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765EC8">
                        <w:rPr>
                          <w:rFonts w:ascii="Soberana Titular" w:hAnsi="Soberana Titular" w:cs="Arial"/>
                          <w:color w:val="808080" w:themeColor="background1" w:themeShade="80"/>
                          <w:sz w:val="16"/>
                          <w:szCs w:val="16"/>
                        </w:rPr>
                        <w:t>JUNIO</w:t>
                      </w:r>
                    </w:p>
                  </w:txbxContent>
                </v:textbox>
              </v:shape>
              <v:group id="9 Grupo" o:spid="_x0000_s1028" style="position:absolute;left:22896;width:8827;height:5959" coordorigin="" coordsize="8827,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1313;height:5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1313;top:219;width:7514;height:5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03EB8">
                          <w:rPr>
                            <w:rFonts w:ascii="Soberana Titular" w:hAnsi="Soberana Titular" w:cs="Arial"/>
                            <w:color w:val="808080" w:themeColor="background1" w:themeShade="80"/>
                            <w:sz w:val="42"/>
                            <w:szCs w:val="42"/>
                          </w:rPr>
                          <w:t>20</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p w:rsidR="00E17021" w:rsidRDefault="00E17021">
    <w:pPr>
      <w:pStyle w:val="Encabezado"/>
    </w:pPr>
  </w:p>
  <w:p w:rsidR="00E17021" w:rsidRDefault="00E17021">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904A291" wp14:editId="41DD951A">
              <wp:simplePos x="0" y="0"/>
              <wp:positionH relativeFrom="column">
                <wp:posOffset>-945515</wp:posOffset>
              </wp:positionH>
              <wp:positionV relativeFrom="paragraph">
                <wp:posOffset>115333</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9.1pt" to="71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ADED05" wp14:editId="676ACC34">
              <wp:simplePos x="0" y="0"/>
              <wp:positionH relativeFrom="column">
                <wp:posOffset>-711679</wp:posOffset>
              </wp:positionH>
              <wp:positionV relativeFrom="paragraph">
                <wp:posOffset>180148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" strokecolor="#4579b8 [3044]" strokeweight="1.5pt"/>
          </w:pict>
        </mc:Fallback>
      </mc:AlternateContent>
    </w:r>
    <w:r>
      <w:rPr>
        <w:rFonts w:ascii="Soberana Sans Light" w:hAnsi="Soberana Sans Light"/>
      </w:rPr>
      <w:t>TRIBUNAL SUPERIOR DE JUSTICIA – PODER JUDICIAL DEL ESTADO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3976009"/>
    <w:multiLevelType w:val="hybridMultilevel"/>
    <w:tmpl w:val="12CA33F2"/>
    <w:lvl w:ilvl="0" w:tplc="178E0EAA">
      <w:start w:val="3"/>
      <w:numFmt w:val="bullet"/>
      <w:lvlText w:val="-"/>
      <w:lvlJc w:val="left"/>
      <w:pPr>
        <w:tabs>
          <w:tab w:val="num" w:pos="1623"/>
        </w:tabs>
        <w:ind w:left="1623" w:hanging="91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49444CE"/>
    <w:multiLevelType w:val="multilevel"/>
    <w:tmpl w:val="C24E9B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C2F0F"/>
    <w:multiLevelType w:val="multilevel"/>
    <w:tmpl w:val="3434F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10536F"/>
    <w:multiLevelType w:val="multilevel"/>
    <w:tmpl w:val="FE023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ED036A"/>
    <w:multiLevelType w:val="multilevel"/>
    <w:tmpl w:val="4878B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194D50BC"/>
    <w:multiLevelType w:val="hybridMultilevel"/>
    <w:tmpl w:val="881400D8"/>
    <w:lvl w:ilvl="0" w:tplc="17742100">
      <w:start w:val="1"/>
      <w:numFmt w:val="decimal"/>
      <w:lvlText w:val="%1)"/>
      <w:lvlJc w:val="left"/>
      <w:pPr>
        <w:ind w:left="1143" w:hanging="360"/>
      </w:pPr>
      <w:rPr>
        <w:rFonts w:hint="default"/>
      </w:rPr>
    </w:lvl>
    <w:lvl w:ilvl="1" w:tplc="080A0019" w:tentative="1">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abstractNum w:abstractNumId="8">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1A1956DD"/>
    <w:multiLevelType w:val="multilevel"/>
    <w:tmpl w:val="3B989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DE7201"/>
    <w:multiLevelType w:val="singleLevel"/>
    <w:tmpl w:val="9CF84C92"/>
    <w:lvl w:ilvl="0">
      <w:start w:val="1"/>
      <w:numFmt w:val="lowerLetter"/>
      <w:lvlText w:val="%1)"/>
      <w:lvlJc w:val="left"/>
      <w:pPr>
        <w:tabs>
          <w:tab w:val="num" w:pos="1080"/>
        </w:tabs>
        <w:ind w:left="1080" w:hanging="375"/>
      </w:pPr>
      <w:rPr>
        <w:rFonts w:hint="default"/>
      </w:rPr>
    </w:lvl>
  </w:abstractNum>
  <w:abstractNum w:abstractNumId="11">
    <w:nsid w:val="202F56F2"/>
    <w:multiLevelType w:val="multilevel"/>
    <w:tmpl w:val="8C38B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4B26E1"/>
    <w:multiLevelType w:val="multilevel"/>
    <w:tmpl w:val="9C1A1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3650FA"/>
    <w:multiLevelType w:val="multilevel"/>
    <w:tmpl w:val="1AB868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5213E2"/>
    <w:multiLevelType w:val="multilevel"/>
    <w:tmpl w:val="F198D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D16652"/>
    <w:multiLevelType w:val="multilevel"/>
    <w:tmpl w:val="4A56154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4427B6"/>
    <w:multiLevelType w:val="hybridMultilevel"/>
    <w:tmpl w:val="D7CC4BE0"/>
    <w:lvl w:ilvl="0" w:tplc="4E0CB2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BF021D"/>
    <w:multiLevelType w:val="hybridMultilevel"/>
    <w:tmpl w:val="62D88A7C"/>
    <w:lvl w:ilvl="0" w:tplc="4254E3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396806C7"/>
    <w:multiLevelType w:val="multilevel"/>
    <w:tmpl w:val="73D08DC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2">
    <w:nsid w:val="396F212A"/>
    <w:multiLevelType w:val="hybridMultilevel"/>
    <w:tmpl w:val="E1A29B0E"/>
    <w:lvl w:ilvl="0" w:tplc="398406C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3CD90F42"/>
    <w:multiLevelType w:val="multilevel"/>
    <w:tmpl w:val="02E2EF3E"/>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4">
    <w:nsid w:val="3D034A88"/>
    <w:multiLevelType w:val="multilevel"/>
    <w:tmpl w:val="7E8AEF2A"/>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2D0E9B"/>
    <w:multiLevelType w:val="multilevel"/>
    <w:tmpl w:val="0A5477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F7C49CD"/>
    <w:multiLevelType w:val="multilevel"/>
    <w:tmpl w:val="DED0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29D3DCD"/>
    <w:multiLevelType w:val="hybridMultilevel"/>
    <w:tmpl w:val="CAEECA40"/>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5307B6C"/>
    <w:multiLevelType w:val="multilevel"/>
    <w:tmpl w:val="5F605D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nsid w:val="484A079E"/>
    <w:multiLevelType w:val="multilevel"/>
    <w:tmpl w:val="3B8CD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E6E149C"/>
    <w:multiLevelType w:val="multilevel"/>
    <w:tmpl w:val="CAD4C5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020301C"/>
    <w:multiLevelType w:val="multilevel"/>
    <w:tmpl w:val="D07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5A71F05"/>
    <w:multiLevelType w:val="hybridMultilevel"/>
    <w:tmpl w:val="696857D8"/>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6542A09"/>
    <w:multiLevelType w:val="multilevel"/>
    <w:tmpl w:val="BBD45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58CC5E50"/>
    <w:multiLevelType w:val="multilevel"/>
    <w:tmpl w:val="B32625E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2A150B"/>
    <w:multiLevelType w:val="multilevel"/>
    <w:tmpl w:val="90D84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C3228CE"/>
    <w:multiLevelType w:val="multilevel"/>
    <w:tmpl w:val="36F0158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DA42F7F"/>
    <w:multiLevelType w:val="multilevel"/>
    <w:tmpl w:val="AFA862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EFA59BA"/>
    <w:multiLevelType w:val="hybridMultilevel"/>
    <w:tmpl w:val="C20842C6"/>
    <w:lvl w:ilvl="0" w:tplc="AE4C2A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F4647D8"/>
    <w:multiLevelType w:val="multilevel"/>
    <w:tmpl w:val="071047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2E0F7F"/>
    <w:multiLevelType w:val="multilevel"/>
    <w:tmpl w:val="78747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76E3D18"/>
    <w:multiLevelType w:val="hybridMultilevel"/>
    <w:tmpl w:val="189437AA"/>
    <w:lvl w:ilvl="0" w:tplc="908E0C32">
      <w:start w:val="3"/>
      <w:numFmt w:val="bullet"/>
      <w:lvlText w:val=""/>
      <w:lvlJc w:val="left"/>
      <w:pPr>
        <w:tabs>
          <w:tab w:val="num" w:pos="1069"/>
        </w:tabs>
        <w:ind w:left="1069" w:hanging="360"/>
      </w:pPr>
      <w:rPr>
        <w:rFonts w:ascii="Symbol" w:eastAsia="Times New Roman" w:hAnsi="Symbol" w:cs="Aria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3">
    <w:nsid w:val="68780C43"/>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4">
    <w:nsid w:val="6BD526E3"/>
    <w:multiLevelType w:val="multilevel"/>
    <w:tmpl w:val="20861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F4A46E8"/>
    <w:multiLevelType w:val="multilevel"/>
    <w:tmpl w:val="D06C7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0425CD1"/>
    <w:multiLevelType w:val="multilevel"/>
    <w:tmpl w:val="2E8C25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0622026"/>
    <w:multiLevelType w:val="multilevel"/>
    <w:tmpl w:val="0FF6B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0"/>
  </w:num>
  <w:num w:numId="4">
    <w:abstractNumId w:val="16"/>
  </w:num>
  <w:num w:numId="5">
    <w:abstractNumId w:val="22"/>
  </w:num>
  <w:num w:numId="6">
    <w:abstractNumId w:val="29"/>
  </w:num>
  <w:num w:numId="7">
    <w:abstractNumId w:val="43"/>
  </w:num>
  <w:num w:numId="8">
    <w:abstractNumId w:val="1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
  </w:num>
  <w:num w:numId="12">
    <w:abstractNumId w:val="13"/>
  </w:num>
  <w:num w:numId="13">
    <w:abstractNumId w:val="21"/>
  </w:num>
  <w:num w:numId="14">
    <w:abstractNumId w:val="3"/>
  </w:num>
  <w:num w:numId="15">
    <w:abstractNumId w:val="11"/>
  </w:num>
  <w:num w:numId="16">
    <w:abstractNumId w:val="46"/>
  </w:num>
  <w:num w:numId="17">
    <w:abstractNumId w:val="17"/>
  </w:num>
  <w:num w:numId="18">
    <w:abstractNumId w:val="31"/>
  </w:num>
  <w:num w:numId="19">
    <w:abstractNumId w:val="14"/>
  </w:num>
  <w:num w:numId="20">
    <w:abstractNumId w:val="23"/>
  </w:num>
  <w:num w:numId="21">
    <w:abstractNumId w:val="26"/>
  </w:num>
  <w:num w:numId="22">
    <w:abstractNumId w:val="44"/>
  </w:num>
  <w:num w:numId="23">
    <w:abstractNumId w:val="32"/>
  </w:num>
  <w:num w:numId="24">
    <w:abstractNumId w:val="2"/>
  </w:num>
  <w:num w:numId="25">
    <w:abstractNumId w:val="38"/>
  </w:num>
  <w:num w:numId="26">
    <w:abstractNumId w:val="45"/>
  </w:num>
  <w:num w:numId="27">
    <w:abstractNumId w:val="15"/>
  </w:num>
  <w:num w:numId="28">
    <w:abstractNumId w:val="9"/>
  </w:num>
  <w:num w:numId="29">
    <w:abstractNumId w:val="47"/>
  </w:num>
  <w:num w:numId="30">
    <w:abstractNumId w:val="5"/>
  </w:num>
  <w:num w:numId="31">
    <w:abstractNumId w:val="25"/>
  </w:num>
  <w:num w:numId="32">
    <w:abstractNumId w:val="37"/>
  </w:num>
  <w:num w:numId="33">
    <w:abstractNumId w:val="24"/>
  </w:num>
  <w:num w:numId="34">
    <w:abstractNumId w:val="36"/>
  </w:num>
  <w:num w:numId="35">
    <w:abstractNumId w:val="30"/>
  </w:num>
  <w:num w:numId="36">
    <w:abstractNumId w:val="40"/>
  </w:num>
  <w:num w:numId="37">
    <w:abstractNumId w:val="35"/>
  </w:num>
  <w:num w:numId="38">
    <w:abstractNumId w:val="28"/>
  </w:num>
  <w:num w:numId="39">
    <w:abstractNumId w:val="4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3"/>
  </w:num>
  <w:num w:numId="43">
    <w:abstractNumId w:val="1"/>
  </w:num>
  <w:num w:numId="44">
    <w:abstractNumId w:val="42"/>
  </w:num>
  <w:num w:numId="45">
    <w:abstractNumId w:val="7"/>
  </w:num>
  <w:num w:numId="46">
    <w:abstractNumId w:val="19"/>
  </w:num>
  <w:num w:numId="47">
    <w:abstractNumId w:val="18"/>
  </w:num>
  <w:num w:numId="48">
    <w:abstractNumId w:val="39"/>
  </w:num>
  <w:num w:numId="49">
    <w:abstractNumId w:val="1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3E2"/>
    <w:rsid w:val="00023504"/>
    <w:rsid w:val="00040466"/>
    <w:rsid w:val="00081DB1"/>
    <w:rsid w:val="000A1D15"/>
    <w:rsid w:val="000B2E78"/>
    <w:rsid w:val="000D0F64"/>
    <w:rsid w:val="000F0C4F"/>
    <w:rsid w:val="000F47AE"/>
    <w:rsid w:val="0010432D"/>
    <w:rsid w:val="0013011C"/>
    <w:rsid w:val="00147DC8"/>
    <w:rsid w:val="001638C8"/>
    <w:rsid w:val="00165BB4"/>
    <w:rsid w:val="001676A6"/>
    <w:rsid w:val="001709EC"/>
    <w:rsid w:val="0018249C"/>
    <w:rsid w:val="001A27A0"/>
    <w:rsid w:val="001B1B72"/>
    <w:rsid w:val="001C046A"/>
    <w:rsid w:val="001C6FD8"/>
    <w:rsid w:val="001E7072"/>
    <w:rsid w:val="001F1F1E"/>
    <w:rsid w:val="00204C86"/>
    <w:rsid w:val="00207677"/>
    <w:rsid w:val="00264426"/>
    <w:rsid w:val="00272967"/>
    <w:rsid w:val="00284F60"/>
    <w:rsid w:val="00286E24"/>
    <w:rsid w:val="00286E54"/>
    <w:rsid w:val="002930D7"/>
    <w:rsid w:val="002A70B3"/>
    <w:rsid w:val="002D443C"/>
    <w:rsid w:val="002D4EED"/>
    <w:rsid w:val="002E2B9E"/>
    <w:rsid w:val="002F3006"/>
    <w:rsid w:val="00300A2E"/>
    <w:rsid w:val="0032220A"/>
    <w:rsid w:val="00340174"/>
    <w:rsid w:val="00352B18"/>
    <w:rsid w:val="0036297D"/>
    <w:rsid w:val="00372F40"/>
    <w:rsid w:val="00376820"/>
    <w:rsid w:val="00384DD7"/>
    <w:rsid w:val="00396C2B"/>
    <w:rsid w:val="003A0303"/>
    <w:rsid w:val="003A2D72"/>
    <w:rsid w:val="003A311D"/>
    <w:rsid w:val="003D28C9"/>
    <w:rsid w:val="003D5DBF"/>
    <w:rsid w:val="003E6786"/>
    <w:rsid w:val="003E7FD0"/>
    <w:rsid w:val="003F675D"/>
    <w:rsid w:val="00432938"/>
    <w:rsid w:val="0043768F"/>
    <w:rsid w:val="00440D9C"/>
    <w:rsid w:val="0044253C"/>
    <w:rsid w:val="0045581E"/>
    <w:rsid w:val="00461F67"/>
    <w:rsid w:val="00464ADA"/>
    <w:rsid w:val="00484C0D"/>
    <w:rsid w:val="00497D8B"/>
    <w:rsid w:val="004D06DA"/>
    <w:rsid w:val="004D41B8"/>
    <w:rsid w:val="004D75D2"/>
    <w:rsid w:val="004E4B2E"/>
    <w:rsid w:val="004E50C7"/>
    <w:rsid w:val="00505999"/>
    <w:rsid w:val="0051330A"/>
    <w:rsid w:val="00514F2A"/>
    <w:rsid w:val="0051691E"/>
    <w:rsid w:val="00521729"/>
    <w:rsid w:val="00522632"/>
    <w:rsid w:val="00540418"/>
    <w:rsid w:val="00541955"/>
    <w:rsid w:val="00554EFC"/>
    <w:rsid w:val="00562AE0"/>
    <w:rsid w:val="00573BFE"/>
    <w:rsid w:val="005873F9"/>
    <w:rsid w:val="00597D80"/>
    <w:rsid w:val="005C2900"/>
    <w:rsid w:val="005D1D52"/>
    <w:rsid w:val="005D21BA"/>
    <w:rsid w:val="005D5964"/>
    <w:rsid w:val="005E128D"/>
    <w:rsid w:val="005E3805"/>
    <w:rsid w:val="005E79BC"/>
    <w:rsid w:val="00611F8C"/>
    <w:rsid w:val="00627F03"/>
    <w:rsid w:val="006316F7"/>
    <w:rsid w:val="00632D56"/>
    <w:rsid w:val="00656276"/>
    <w:rsid w:val="00682658"/>
    <w:rsid w:val="006844E0"/>
    <w:rsid w:val="006913C3"/>
    <w:rsid w:val="006916E8"/>
    <w:rsid w:val="00693AA0"/>
    <w:rsid w:val="006A09C5"/>
    <w:rsid w:val="006B1FE7"/>
    <w:rsid w:val="006C44E7"/>
    <w:rsid w:val="006D61DF"/>
    <w:rsid w:val="006E77DD"/>
    <w:rsid w:val="00740D59"/>
    <w:rsid w:val="00750B21"/>
    <w:rsid w:val="0076461F"/>
    <w:rsid w:val="00765EC8"/>
    <w:rsid w:val="0077316C"/>
    <w:rsid w:val="00774F5A"/>
    <w:rsid w:val="007857DC"/>
    <w:rsid w:val="0079582C"/>
    <w:rsid w:val="007A7186"/>
    <w:rsid w:val="007C3148"/>
    <w:rsid w:val="007D0E05"/>
    <w:rsid w:val="007D2DCC"/>
    <w:rsid w:val="007D6E9A"/>
    <w:rsid w:val="00802A24"/>
    <w:rsid w:val="00803F81"/>
    <w:rsid w:val="00805DFE"/>
    <w:rsid w:val="00811DAC"/>
    <w:rsid w:val="00815739"/>
    <w:rsid w:val="00845AC8"/>
    <w:rsid w:val="00847C58"/>
    <w:rsid w:val="00861536"/>
    <w:rsid w:val="00865278"/>
    <w:rsid w:val="00865F07"/>
    <w:rsid w:val="0087435B"/>
    <w:rsid w:val="008A4B6A"/>
    <w:rsid w:val="008A6E4D"/>
    <w:rsid w:val="008A793D"/>
    <w:rsid w:val="008B0017"/>
    <w:rsid w:val="008D194A"/>
    <w:rsid w:val="008D3660"/>
    <w:rsid w:val="008D6884"/>
    <w:rsid w:val="008E3652"/>
    <w:rsid w:val="008F6D58"/>
    <w:rsid w:val="00903981"/>
    <w:rsid w:val="00903EB8"/>
    <w:rsid w:val="0091246D"/>
    <w:rsid w:val="009311EF"/>
    <w:rsid w:val="00966A1C"/>
    <w:rsid w:val="00966FC1"/>
    <w:rsid w:val="009A7236"/>
    <w:rsid w:val="009D329C"/>
    <w:rsid w:val="009D500A"/>
    <w:rsid w:val="009F23C4"/>
    <w:rsid w:val="00A03020"/>
    <w:rsid w:val="00A269E5"/>
    <w:rsid w:val="00A46BF5"/>
    <w:rsid w:val="00A53D41"/>
    <w:rsid w:val="00A57E8D"/>
    <w:rsid w:val="00A74053"/>
    <w:rsid w:val="00A80351"/>
    <w:rsid w:val="00A87441"/>
    <w:rsid w:val="00AA1112"/>
    <w:rsid w:val="00AA3374"/>
    <w:rsid w:val="00AB67F3"/>
    <w:rsid w:val="00AD0ACE"/>
    <w:rsid w:val="00AE4C55"/>
    <w:rsid w:val="00AE70D2"/>
    <w:rsid w:val="00AF0B42"/>
    <w:rsid w:val="00AF56BA"/>
    <w:rsid w:val="00B146E2"/>
    <w:rsid w:val="00B271F7"/>
    <w:rsid w:val="00B4125B"/>
    <w:rsid w:val="00B50684"/>
    <w:rsid w:val="00B53A86"/>
    <w:rsid w:val="00B829CD"/>
    <w:rsid w:val="00B849EE"/>
    <w:rsid w:val="00B84D02"/>
    <w:rsid w:val="00B93DD0"/>
    <w:rsid w:val="00BA2940"/>
    <w:rsid w:val="00C021AD"/>
    <w:rsid w:val="00C16E53"/>
    <w:rsid w:val="00C5542A"/>
    <w:rsid w:val="00C863B0"/>
    <w:rsid w:val="00C86693"/>
    <w:rsid w:val="00C86C59"/>
    <w:rsid w:val="00C93F52"/>
    <w:rsid w:val="00CB38E4"/>
    <w:rsid w:val="00CB713F"/>
    <w:rsid w:val="00CB7553"/>
    <w:rsid w:val="00CD5B33"/>
    <w:rsid w:val="00CE4EAC"/>
    <w:rsid w:val="00CF168C"/>
    <w:rsid w:val="00D055EC"/>
    <w:rsid w:val="00D11A5D"/>
    <w:rsid w:val="00D2500D"/>
    <w:rsid w:val="00D44728"/>
    <w:rsid w:val="00D52385"/>
    <w:rsid w:val="00D6652B"/>
    <w:rsid w:val="00D74578"/>
    <w:rsid w:val="00D843EE"/>
    <w:rsid w:val="00D96A7A"/>
    <w:rsid w:val="00DB63AE"/>
    <w:rsid w:val="00DE6D8F"/>
    <w:rsid w:val="00DF0E25"/>
    <w:rsid w:val="00E17021"/>
    <w:rsid w:val="00E30318"/>
    <w:rsid w:val="00E32708"/>
    <w:rsid w:val="00E4429D"/>
    <w:rsid w:val="00E44E62"/>
    <w:rsid w:val="00E451A3"/>
    <w:rsid w:val="00E71A22"/>
    <w:rsid w:val="00E74E05"/>
    <w:rsid w:val="00EA5418"/>
    <w:rsid w:val="00EB6D03"/>
    <w:rsid w:val="00EE088D"/>
    <w:rsid w:val="00EE7453"/>
    <w:rsid w:val="00EF7D4E"/>
    <w:rsid w:val="00F06DDD"/>
    <w:rsid w:val="00F10B48"/>
    <w:rsid w:val="00F12393"/>
    <w:rsid w:val="00F17C0D"/>
    <w:rsid w:val="00F55296"/>
    <w:rsid w:val="00F66E80"/>
    <w:rsid w:val="00F768B1"/>
    <w:rsid w:val="00F8713B"/>
    <w:rsid w:val="00F974A8"/>
    <w:rsid w:val="00FB1010"/>
    <w:rsid w:val="00FB22AB"/>
    <w:rsid w:val="00FC77CF"/>
    <w:rsid w:val="00FD059E"/>
    <w:rsid w:val="00FD1F52"/>
    <w:rsid w:val="00FD5A63"/>
    <w:rsid w:val="00FE5D95"/>
    <w:rsid w:val="00FF4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699">
      <w:bodyDiv w:val="1"/>
      <w:marLeft w:val="0"/>
      <w:marRight w:val="0"/>
      <w:marTop w:val="0"/>
      <w:marBottom w:val="0"/>
      <w:divBdr>
        <w:top w:val="none" w:sz="0" w:space="0" w:color="auto"/>
        <w:left w:val="none" w:sz="0" w:space="0" w:color="auto"/>
        <w:bottom w:val="none" w:sz="0" w:space="0" w:color="auto"/>
        <w:right w:val="none" w:sz="0" w:space="0" w:color="auto"/>
      </w:divBdr>
    </w:div>
    <w:div w:id="94791129">
      <w:bodyDiv w:val="1"/>
      <w:marLeft w:val="0"/>
      <w:marRight w:val="0"/>
      <w:marTop w:val="0"/>
      <w:marBottom w:val="0"/>
      <w:divBdr>
        <w:top w:val="none" w:sz="0" w:space="0" w:color="auto"/>
        <w:left w:val="none" w:sz="0" w:space="0" w:color="auto"/>
        <w:bottom w:val="none" w:sz="0" w:space="0" w:color="auto"/>
        <w:right w:val="none" w:sz="0" w:space="0" w:color="auto"/>
      </w:divBdr>
    </w:div>
    <w:div w:id="119806745">
      <w:bodyDiv w:val="1"/>
      <w:marLeft w:val="0"/>
      <w:marRight w:val="0"/>
      <w:marTop w:val="0"/>
      <w:marBottom w:val="0"/>
      <w:divBdr>
        <w:top w:val="none" w:sz="0" w:space="0" w:color="auto"/>
        <w:left w:val="none" w:sz="0" w:space="0" w:color="auto"/>
        <w:bottom w:val="none" w:sz="0" w:space="0" w:color="auto"/>
        <w:right w:val="none" w:sz="0" w:space="0" w:color="auto"/>
      </w:divBdr>
    </w:div>
    <w:div w:id="1131021807">
      <w:bodyDiv w:val="1"/>
      <w:marLeft w:val="0"/>
      <w:marRight w:val="0"/>
      <w:marTop w:val="0"/>
      <w:marBottom w:val="0"/>
      <w:divBdr>
        <w:top w:val="none" w:sz="0" w:space="0" w:color="auto"/>
        <w:left w:val="none" w:sz="0" w:space="0" w:color="auto"/>
        <w:bottom w:val="none" w:sz="0" w:space="0" w:color="auto"/>
        <w:right w:val="none" w:sz="0" w:space="0" w:color="auto"/>
      </w:divBdr>
    </w:div>
    <w:div w:id="130863252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6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59BA-36FA-41C2-B288-A3CCAFAA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5229</Words>
  <Characters>28763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obruno</cp:lastModifiedBy>
  <cp:revision>4</cp:revision>
  <cp:lastPrinted>2020-07-09T20:54:00Z</cp:lastPrinted>
  <dcterms:created xsi:type="dcterms:W3CDTF">2020-07-09T19:13:00Z</dcterms:created>
  <dcterms:modified xsi:type="dcterms:W3CDTF">2022-10-25T19:09:00Z</dcterms:modified>
</cp:coreProperties>
</file>